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ocument.xml" ContentType="application/vnd.openxmlformats-officedocument.wordprocessingml.template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body>
    <w:p>
      <w:pPr>
        <w:spacing w:before="0" w:after="220"/>
        <w:ind w:right="6240"/>
        <w:pBdr>
          <w:bottom w:val="single" w:sz="32" w:space="3" w:color="FF5D00" w:themeColor="accent1"/>
        </w:pBdr>
      </w:pPr>
      <w:r>
        <w:rPr>
          <w:rFonts w:ascii="Consolas" w:hAnsi="Consolas" w:cs="Consolas"/>
          <w:caps/>
          <w:spacing w:val="40"/>
          <w:color w:val="FF5D00" w:themeColor="accent1"/>
          <w:sz w:val="18"/>
          <w:szCs w:val="18"/>
        </w:rPr>
        <w:t xml:space="preserve">Capability statement</w:t>
      </w:r>
    </w:p>
    <w:p>
      <w:pPr>
        <w:spacing w:after="240"/>
      </w:pPr>
      <w:r>
        <w:rPr>
          <w:rFonts w:ascii="Corbel" w:hAnsi="Corbel" w:cs="Corbel"/>
          <w:color w:val="0E1721" w:themeColor="text1"/>
          <w:sz w:val="30"/>
          <w:szCs w:val="30"/>
        </w:rPr>
        <w:t xml:space="preserve">Polyrhythm Software, LLC builds secure, mission-ready software and systems for defense programs: capability fielded, not just planned.</w:t>
      </w:r>
    </w:p>
    <w:p>
      <w:pPr>
        <w:pStyle w:val="Heading2"/>
      </w:pPr>
      <w:r>
        <w:t xml:space="preserve">Engineering surfaces</w:t>
      </w:r>
    </w:p>
    <w:tbl>
      <w:tblPr>
        <w:tblStyle w:val="PolyrhythmTable"/>
        <w:tblW w:w="5000" w:type="pct"/>
        <w:tblLook w:val="04A0" w:firstRow="1" w:lastRow="0" w:firstColumn="0" w:lastColumn="0" w:noHBand="0" w:noVBand="1"/>
      </w:tblPr>
      <w:tblGrid>
        <w:gridCol/>
        <w:gridCol/>
      </w:tblGrid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Surface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What Polyrhythm does</w:t>
            </w:r>
          </w:p>
        </w:tc>
      </w:tr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Modeling &amp; simulation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Synthetic environments and analysis that stand up to technical review.</w:t>
            </w:r>
          </w:p>
        </w:tc>
      </w:tr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Aircraft mission systems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Interfaces, telemetry paths, and hardware/software boundaries with verification artifacts.</w:t>
            </w:r>
          </w:p>
        </w:tc>
      </w:tr>
      <w:tr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Software engineering</w:t>
            </w:r>
          </w:p>
        </w:tc>
        <w:tc>
          <w:tcPr>
            <w:tcW w:w="0" w:type="auto"/>
          </w:tcPr>
          <w:p>
            <w:pPr>
              <w:pStyle w:val="Normal"/>
              <w:spacing w:after="0"/>
            </w:pPr>
            <w:r>
              <w:t xml:space="preserve">Secure source-to-deploy: build, scan, sign, promote, deploy, evidence.</w:t>
            </w:r>
          </w:p>
        </w:tc>
      </w:tr>
    </w:tbl>
    <w:p>
      <w:pPr>
        <w:pStyle w:val="Heading2"/>
      </w:pPr>
      <w:r>
        <w:t xml:space="preserve">Differentiators</w:t>
      </w:r>
    </w:p>
    <w:p>
      <w:pPr>
        <w:pStyle w:val="ListParagraph"/>
        <w:numPr>
          <w:ilvl w:val="0"/>
          <w:numId w:val="1"/>
        </w:numPr>
      </w:pPr>
      <w:r>
        <w:t xml:space="preserve">Capability fielded, not just planned: production software on active defense programs.</w:t>
      </w:r>
    </w:p>
    <w:p>
      <w:pPr>
        <w:pStyle w:val="ListParagraph"/>
        <w:numPr>
          <w:ilvl w:val="0"/>
          <w:numId w:val="1"/>
        </w:numPr>
      </w:pPr>
      <w:r>
        <w:t xml:space="preserve">Integration discipline: seams, interfaces, handoffs, ownership zones, verification points.</w:t>
      </w:r>
    </w:p>
    <w:p>
      <w:pPr>
        <w:pStyle w:val="ListParagraph"/>
        <w:numPr>
          <w:ilvl w:val="0"/>
          <w:numId w:val="1"/>
        </w:numPr>
      </w:pPr>
      <w:r>
        <w:t xml:space="preserve">Evidence and reviewability: artifacts, decision records, open risks, test status.</w:t>
      </w:r>
    </w:p>
    <w:p>
      <w:pPr>
        <w:pStyle w:val="Heading2"/>
      </w:pPr>
      <w:r>
        <w:t xml:space="preserve">Overview</w:t>
      </w:r>
    </w:p>
    <w:p>
      <w:r>
        <w:rPr>
          <w:i/>
          <w:iCs/>
          <w:color w:val="46515B" w:themeColor="text2"/>
        </w:rPr>
        <w:t xml:space="preserve">[Summarize, in two or three sentences, the program-specific capability and outcomes Polyrhythm brings to this customer. Keep it concrete: system, boundary, evidence.]</w:t>
      </w:r>
    </w:p>
    <w:p>
      <w:pPr>
        <w:pStyle w:val="Caption"/>
      </w:pPr>
      <w:r>
        <w:t xml:space="preserve">Contact: [name]  ·  [email]  ·  [phone]  ·  polyrhythm.com</w:t>
      </w:r>
    </w:p>
    <w:sectPr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tbl>
    <w:tblPr>
      <w:tblW w:w="5000" w:type="pct"/>
      <w:tblBorders>
        <w:top w:val="nil"/>
        <w:left w:val="nil"/>
        <w:bottom w:val="nil"/>
        <w:right w:val="nil"/>
        <w:insideH w:val="nil"/>
        <w:insideV w:val="nil"/>
      </w:tblBorders>
      <w:tblLook w:val="0000" w:firstRow="0" w:lastRow="0" w:firstColumn="0" w:lastColumn="0" w:noHBand="1" w:noVBand="1"/>
    </w:tblPr>
    <w:tblGrid>
      <w:gridCol w:w="3000"/>
      <w:gridCol w:w="2120"/>
      <w:gridCol w:w="2120"/>
      <w:gridCol w:w="2120"/>
    </w:tblGrid>
    <w:tr>
      <w:trPr>
        <w:cantSplit/>
      </w:trPr>
      <w:tc>
        <w:tcPr>
          <w:tcW w:w="300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aps/>
              <w:color w:val="0E1721" w:themeColor="text1"/>
              <w:sz w:val="16"/>
              <w:szCs w:val="16"/>
            </w:rPr>
            <w:t xml:space="preserve">Polyrhythm Software, LLC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CAGE 9QAJ2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UEI R213CFAESU89</w:t>
          </w:r>
        </w:p>
      </w:tc>
      <w:tc>
        <w:tcPr>
          <w:tcW w:w="2120" w:type="dxa"/>
          <w:shd w:val="clear" w:color="auto" w:fill="E3E3E3"/>
          <w:tcMar>
            <w:top w:w="120" w:type="dxa"/>
            <w:left w:w="160" w:type="dxa"/>
            <w:bottom w:w="120" w:type="dxa"/>
            <w:right w:w="160" w:type="dxa"/>
          </w:tcMar>
        </w:tcPr>
        <w:p>
          <w:pPr>
            <w:jc w:val="both"/>
            <w:spacing w:after="0" w:line="240" w:lineRule="auto"/>
          </w:pPr>
          <w:r>
            <w:rPr>
              <w:rFonts w:ascii="Consolas" w:hAnsi="Consolas" w:cs="Consolas"/>
              <w:color w:val="46515B" w:themeColor="text2"/>
              <w:sz w:val="16"/>
              <w:szCs w:val="16"/>
            </w:rPr>
            <w:t xml:space="preserve">polyrhythm.com</w:t>
          </w:r>
        </w:p>
      </w:tc>
    </w:tr>
  </w:tbl>
  <w:p>
    <w:pPr>
      <w:pStyle w:val="Footer"/>
      <w:jc w:val="center"/>
      <w:spacing w:before="60" w:after="0"/>
    </w:pPr>
    <w:r>
      <w:rPr>
        <w:rStyle w:val="PolyrhythmMetadata"/>
      </w:rPr>
      <w:t xml:space="preserve">[Distribution / classification marking if required]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>
    <w:pPr>
      <w:pStyle w:val="Header"/>
      <w:jc w:val="center"/>
      <w:spacing w:after="80"/>
    </w:pPr>
    <w:r>
      <w:rPr>
        <w:rStyle w:val="PolyrhythmMetadata"/>
      </w:rPr>
      <w:t xml:space="preserve">[Distribution / classification marking if required]</w:t>
    </w:r>
  </w:p>
  <w:p>
    <w:pPr>
      <w:pStyle w:val="Header"/>
      <w:pBdr>
        <w:bottom w:val="single" w:sz="6" w:space="6" w:color="46515B" w:themeColor="text2"/>
      </w:pBdr>
      <w:spacing w:after="160"/>
    </w:pPr>
    <w:r>
      <w:rPr>
        <w:noProof/>
      </w:rPr>
      <w:drawing>
        <wp:inline distT="0" distB="0" distL="0" distR="0">
          <wp:extent cx="2011680" cy="286822"/>
          <wp:effectExtent l="0" t="0" r="0" b="0"/>
          <wp:docPr id="101" name="Polyrhythm logo" descr="Polyrhythm Software, LL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" name="Polyrhythm logo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11680" cy="2868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bstractNum w:abstractNumId="0">
    <w:multiLevelType w:val="hybridMultilevel"/>
    <w:lvl w:ilvl="0">
      <w:start w:val="1"/>
      <w:numFmt w:val="bullet"/>
      <w:lvlText w:val="–"/>
      <w:lvlJc w:val="left"/>
      <w:pPr>
        <w:ind w:left="360" w:hanging="360"/>
      </w:pPr>
      <w:rPr>
        <w:rFonts w:ascii="Consolas" w:hAnsi="Consolas" w:hint="default"/>
        <w:color w:val="8B9399" w:themeColor="accent3"/>
      </w:rPr>
    </w:lvl>
    <w:lvl w:ilvl="1">
      <w:start w:val="1"/>
      <w:numFmt w:val="bullet"/>
      <w:lvlText w:val="·"/>
      <w:lvlJc w:val="left"/>
      <w:pPr>
        <w:ind w:left="720" w:hanging="360"/>
      </w:pPr>
      <w:rPr>
        <w:rFonts w:ascii="Consolas" w:hAnsi="Consolas" w:hint="default"/>
        <w:color w:val="8B9399" w:themeColor="accent3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Consolas" w:hAnsi="Consolas" w:hint="default"/>
        <w:color w:val="8B9399" w:themeColor="accent3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10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color w:val="0E1721" w:themeColor="text1"/>
        <w:sz w:val="22"/>
        <w:szCs w:val="22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1" w:defUnhideWhenUsed="1" w:defQFormat="0" w:count="3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Title" w:semiHidden="0" w:unhideWhenUsed="0" w:qFormat="1"/>
    <w:lsdException w:name="Subtitle" w:semiHidden="0" w:unhideWhenUsed="0" w:qFormat="1"/>
    <w:lsdException w:name="Quote" w:semiHidden="0" w:unhideWhenUsed="0" w:qFormat="1"/>
    <w:lsdException w:name="caption" w:semiHidden="0" w:unhideWhenUsed="0" w:qFormat="1"/>
    <w:lsdException w:name="List Paragraph" w:semiHidden="0" w:unhideWhenUsed="0" w:qFormat="1"/>
    <w:lsdException w:name="header" w:semiHidden="0" w:unhideWhenUsed="0"/>
    <w:lsdException w:name="footer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Hyperlink" w:semiHidden="0" w:unhideWhenUsed="0"/>
  </w:latentStyles>
  <w:style w:type="paragraph" w:default="1" w:styleId="Normal">
    <w:name w:val="Normal"/>
    <w:qFormat/>
  </w:style>
  <w:style w:type="character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120"/>
      <w:contextualSpacing/>
    </w:pPr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character" w:styleId="TitleChar">
    <w:name w:val="Title Char"/>
    <w:basedOn w:val="DefaultParagraphFont"/>
    <w:link w:val="Title"/>
    <w:uiPriority w:val="10"/>
    <w:rPr>
      <w:rFonts w:asciiTheme="majorHAnsi" w:hAnsiTheme="majorHAnsi" w:cstheme="majorBidi"/>
      <w:color w:val="0E1721" w:themeColor="text1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  <w:contextualSpacing/>
    </w:pPr>
    <w:rPr>
      <w:rFonts w:asciiTheme="majorHAnsi" w:hAnsiTheme="majorHAnsi" w:cstheme="majorBidi"/>
      <w:color w:val="46515B" w:themeColor="text2"/>
      <w:sz w:val="36"/>
      <w:szCs w:val="36"/>
    </w:rPr>
  </w:style>
  <w:style w:type="character" w:styleId="SubtitleChar">
    <w:name w:val="Subtitle Char"/>
    <w:basedOn w:val="DefaultParagraphFont"/>
    <w:link w:val="Subtitle"/>
    <w:uiPriority w:val="11"/>
    <w:rPr>
      <w:rFonts w:asciiTheme="majorHAnsi" w:hAnsiTheme="majorHAnsi" w:cstheme="majorBidi"/>
      <w:color w:val="46515B" w:themeColor="text2"/>
      <w:sz w:val="36"/>
      <w:szCs w:val="3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6" w:space="6" w:color="46515B" w:themeColor="text2"/>
      </w:pBdr>
      <w:spacing w:before="360" w:after="160"/>
      <w:outlineLvl w:val="0"/>
    </w:pPr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character" w:styleId="Heading1Char">
    <w:name w:val="Heading 1 Char"/>
    <w:basedOn w:val="DefaultParagraphFont"/>
    <w:link w:val="Heading1"/>
    <w:uiPriority w:val="9"/>
    <w:rPr>
      <w:rFonts w:asciiTheme="majorHAnsi" w:hAnsiTheme="majorHAnsi" w:cstheme="majorBidi"/>
      <w:b/>
      <w:bCs/>
      <w:color w:val="0E1721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280" w:after="120"/>
      <w:outlineLvl w:val="1"/>
    </w:pPr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character" w:styleId="Heading2Char">
    <w:name w:val="Heading 2 Char"/>
    <w:basedOn w:val="DefaultParagraphFont"/>
    <w:link w:val="Heading2"/>
    <w:uiPriority w:val="9"/>
    <w:rPr>
      <w:rFonts w:asciiTheme="majorHAnsi" w:hAnsiTheme="majorHAnsi" w:cstheme="majorBidi"/>
      <w:b/>
      <w:bCs/>
      <w:color w:val="0E1721" w:themeColor="text1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240" w:after="80"/>
      <w:outlineLvl w:val="2"/>
    </w:pPr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character" w:styleId="Heading3Char">
    <w:name w:val="Heading 3 Char"/>
    <w:basedOn w:val="DefaultParagraphFont"/>
    <w:link w:val="Heading3"/>
    <w:uiPriority w:val="9"/>
    <w:rPr>
      <w:rFonts w:asciiTheme="majorHAnsi" w:hAnsiTheme="majorHAnsi" w:cstheme="majorBidi"/>
      <w:b/>
      <w:bCs/>
      <w:color w:val="46515B" w:themeColor="text2"/>
      <w:sz w:val="25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pPr>
      <w:pBdr>
        <w:left w:val="single" w:sz="18" w:space="10" w:color="FF5D00" w:themeColor="accent1"/>
      </w:pBdr>
      <w:spacing w:before="120" w:after="160"/>
      <w:ind w:left="360"/>
    </w:pPr>
    <w:rPr>
      <w:i/>
      <w:iCs/>
      <w:color w:val="46515B" w:themeColor="text2"/>
    </w:rPr>
  </w:style>
  <w:style w:type="character" w:styleId="QuoteChar">
    <w:name w:val="Quote Char"/>
    <w:basedOn w:val="DefaultParagraphFont"/>
    <w:link w:val="Quote"/>
    <w:uiPriority w:val="29"/>
    <w:rPr>
      <w:i/>
      <w:iCs/>
      <w:color w:val="46515B" w:themeColor="text2"/>
    </w:rPr>
  </w:style>
  <w:style w:type="paragraph" w:styleId="Caption">
    <w:name w:val="caption"/>
    <w:basedOn w:val="Normal"/>
    <w:next w:val="Normal"/>
    <w:uiPriority w:val="35"/>
    <w:unhideWhenUsed/>
    <w:qFormat/>
    <w:pPr>
      <w:spacing w:before="80" w:after="200"/>
    </w:pPr>
    <w:rPr>
      <w:rFonts w:ascii="Consolas" w:hAnsi="Consolas" w:cs="Consolas"/>
      <w:color w:val="8B9399" w:themeColor="accent3"/>
      <w:spacing w:val="4"/>
      <w:sz w:val="17"/>
      <w:szCs w:val="17"/>
    </w:rPr>
  </w:style>
  <w:style w:type="character" w:styleId="PolyrhythmMetadata">
    <w:name w:val="Polyrhythm Metadata"/>
    <w:basedOn w:val="DefaultParagraphFont"/>
    <w:uiPriority w:val="1"/>
    <w:qFormat/>
    <w:rPr>
      <w:rFonts w:ascii="Consolas" w:hAnsi="Consolas" w:cs="Consolas"/>
      <w:caps/>
      <w:color w:val="8B9399" w:themeColor="accent3"/>
      <w:spacing w:val="16"/>
      <w:sz w:val="17"/>
      <w:szCs w:val="17"/>
    </w:rPr>
  </w:style>
  <w:style w:type="character" w:styleId="PolyrhythmMono">
    <w:name w:val="Polyrhythm Mono"/>
    <w:basedOn w:val="DefaultParagraphFont"/>
    <w:uiPriority w:val="1"/>
    <w:qFormat/>
    <w:rPr>
      <w:rFonts w:ascii="Consolas" w:hAnsi="Consolas" w:cs="Consolas"/>
      <w:color w:val="0E1721" w:themeColor="text1"/>
    </w:rPr>
  </w:style>
  <w:style w:type="paragraph" w:styleId="ListParagraph">
    <w:name w:val="List Paragraph"/>
    <w:basedOn w:val="Normal"/>
    <w:uiPriority w:val="34"/>
    <w:qFormat/>
    <w:pPr>
      <w:ind w:left="36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HeaderChar">
    <w:name w:val="Header Char"/>
    <w:basedOn w:val="DefaultParagraphFont"/>
    <w:link w:val="Header"/>
    <w:uiPriority w:val="99"/>
    <w:rPr>
      <w:rFonts w:ascii="Consolas" w:hAnsi="Consolas" w:cs="Consolas"/>
      <w:color w:val="46515B" w:themeColor="text2"/>
      <w:sz w:val="17"/>
      <w:szCs w:val="17"/>
    </w:rPr>
  </w:style>
  <w:style w:type="paragraph" w:styleId="Footer">
    <w:name w:val="footer"/>
    <w:basedOn w:val="Normal"/>
    <w:link w:val="FooterChar"/>
    <w:uiPriority w:val="99"/>
    <w:unhideWhenUsed/>
    <w:pPr>
      <w:tabs>
        <w:tab w:val="right" w:pos="9360"/>
      </w:tabs>
      <w:spacing w:after="0" w:line="240" w:lineRule="auto"/>
    </w:pPr>
    <w:rPr>
      <w:rFonts w:ascii="Consolas" w:hAnsi="Consolas" w:cs="Consolas"/>
      <w:color w:val="46515B" w:themeColor="text2"/>
      <w:sz w:val="17"/>
      <w:szCs w:val="17"/>
    </w:rPr>
  </w:style>
  <w:style w:type="character" w:styleId="FooterChar">
    <w:name w:val="Footer Char"/>
    <w:basedOn w:val="DefaultParagraphFont"/>
    <w:link w:val="Footer"/>
    <w:uiPriority w:val="99"/>
    <w:rPr>
      <w:rFonts w:ascii="Consolas" w:hAnsi="Consolas" w:cs="Consolas"/>
      <w:color w:val="46515B" w:themeColor="text2"/>
      <w:sz w:val="17"/>
      <w:szCs w:val="17"/>
    </w:rPr>
  </w:style>
  <w:style w:type="table" w:styleId="PolyrhythmTable">
    <w:name w:val="Polyrhythm Table"/>
    <w:basedOn w:val="TableNormal"/>
    <w:uiPriority w:val="59"/>
    <w:qFormat/>
    <w:tblPr>
      <w:tblBorders>
        <w:top w:val="single" w:sz="6" w:space="0" w:color="46515B" w:themeColor="text2"/>
        <w:bottom w:val="single" w:sz="6" w:space="0" w:color="46515B" w:themeColor="text2"/>
        <w:insideH w:val="single" w:sz="4" w:space="0" w:color="8B9399" w:themeColor="accent3"/>
      </w:tblBorders>
      <w:tblCellMar>
        <w:top w:w="60" w:type="dxa"/>
        <w:left w:w="108" w:type="dxa"/>
        <w:bottom w:w="60" w:type="dxa"/>
        <w:right w:w="108" w:type="dxa"/>
      </w:tblCellMar>
    </w:tblPr>
    <w:tblStylePr w:type="firstRow">
      <w:rPr>
        <w:rFonts w:asciiTheme="majorHAnsi" w:hAnsiTheme="majorHAnsi" w:cstheme="majorBidi"/>
        <w:b/>
        <w:color w:val="0E1721" w:themeColor="text1"/>
      </w:rPr>
      <w:tblPr/>
      <w:tcPr>
        <w:tcBorders>
          <w:bottom w:val="single" w:sz="8" w:space="0" w:color="46515B" w:themeColor="tex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theme" Target="theme/theme1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Polyrhythm">
  <a:themeElements>
    <a:clrScheme name="Polyrhythm">
      <a:dk1>
        <a:srgbClr val="0E1721"/>
      </a:dk1>
      <a:lt1>
        <a:srgbClr val="FFFFFF"/>
      </a:lt1>
      <a:dk2>
        <a:srgbClr val="46515B"/>
      </a:dk2>
      <a:lt2>
        <a:srgbClr val="E3E3E3"/>
      </a:lt2>
      <a:accent1>
        <a:srgbClr val="FF5D00"/>
      </a:accent1>
      <a:accent2>
        <a:srgbClr val="FCAA00"/>
      </a:accent2>
      <a:accent3>
        <a:srgbClr val="8B9399"/>
      </a:accent3>
      <a:accent4>
        <a:srgbClr val="CD3619"/>
      </a:accent4>
      <a:accent5>
        <a:srgbClr val="F8E04D"/>
      </a:accent5>
      <a:accent6>
        <a:srgbClr val="162230"/>
      </a:accent6>
      <a:hlink>
        <a:srgbClr val="FF5D00"/>
      </a:hlink>
      <a:folHlink>
        <a:srgbClr val="CD3619"/>
      </a:folHlink>
    </a:clrScheme>
    <a:fontScheme name="Polyrhythm">
      <a:majorFont>
        <a:latin typeface="Corbel" panose="020B0503020204020204"/>
        <a:ea typeface=""/>
        <a:cs typeface=""/>
      </a:majorFont>
      <a:minorFont>
        <a:latin typeface="Corbel" panose="020B0503020204020204"/>
        <a:ea typeface=""/>
        <a:cs typeface=""/>
      </a:minorFont>
    </a:fontScheme>
    <a:fmtScheme name="Polyrhythm">
      <a:fillStyleLst>
        <a:solidFill>
          <a:schemeClr val="phClr"/>
        </a:solidFill>
        <a:solidFill>
          <a:schemeClr val="phClr">
            <a:tint val="67000"/>
          </a:schemeClr>
        </a:solidFill>
        <a:solidFill>
          <a:schemeClr val="phClr">
            <a:shade val="80000"/>
          </a:schemeClr>
        </a:soli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80000"/>
          </a:schemeClr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Polyrhythm Software, LLC</Compan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Polyrhythm Capability Statement</dc:title>
  <dc:creator>Polyrhythm Software, LLC</dc:creator>
  <cp:lastModifiedBy>Polyrhythm Software, LLC</cp:lastModifiedBy>
  <cp:revision>1</cp:revision>
  <dcterms:created xsi:type="dcterms:W3CDTF">2026-06-16T00:00:00Z</dcterms:created>
  <dcterms:modified xsi:type="dcterms:W3CDTF">2026-06-16T00:00:00Z</dcterms:modified>
</cp:coreProperties>
</file>