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ocument.xml" ContentType="application/vnd.openxmlformats-officedocument.wordprocessingml.template.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tbl>
      <w:tblPr>
        <w:tblW w:w="5000" w:type="pct"/>
        <w:tblBorders>
          <w:top w:val="nil"/>
          <w:left w:val="nil"/>
          <w:bottom w:val="nil"/>
          <w:right w:val="nil"/>
          <w:insideH w:val="nil"/>
          <w:insideV w:val="nil"/>
        </w:tblBorders>
        <w:tblLook w:val="0000" w:firstRow="0" w:lastRow="0" w:firstColumn="0" w:lastColumn="0" w:noHBand="1" w:noVBand="1"/>
      </w:tblPr>
      <w:tblGrid>
        <w:gridCol w:w="5148"/>
        <w:gridCol w:w="4212"/>
      </w:tblGrid>
      <w:tr>
        <w:tc>
          <w:tcPr>
            <w:tcW w:w="2750" w:type="pct"/>
            <w:tcMar>
              <w:left w:w="0" w:type="dxa"/>
              <w:right w:w="0" w:type="dxa"/>
            </w:tcMar>
            <w:vAlign w:val="center"/>
          </w:tcPr>
          <w:p>
            <w:pPr>
              <w:spacing w:after="0"/>
            </w:pPr>
            <w:r>
              <w:rPr>
                <w:noProof/>
              </w:rPr>
              <w:drawing>
                <wp:inline distT="0" distB="0" distL="0" distR="0">
                  <wp:extent cx="2377440" cy="338971"/>
                  <wp:effectExtent l="0" t="0" r="0" b="0"/>
                  <wp:docPr id="1" name="Polyrhythm lockup" descr="Polyrhythm Software,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yrhythm lockup"/>
                          <pic:cNvPicPr/>
                        </pic:nvPicPr>
                        <pic:blipFill>
                          <a:blip r:embed="rId11"/>
                          <a:stretch>
                            <a:fillRect/>
                          </a:stretch>
                        </pic:blipFill>
                        <pic:spPr>
                          <a:xfrm>
                            <a:off x="0" y="0"/>
                            <a:ext cx="2377440" cy="338971"/>
                          </a:xfrm>
                          <a:prstGeom prst="rect">
                            <a:avLst/>
                          </a:prstGeom>
                        </pic:spPr>
                      </pic:pic>
                    </a:graphicData>
                  </a:graphic>
                </wp:inline>
              </w:drawing>
            </w:r>
          </w:p>
        </w:tc>
        <w:tc>
          <w:tcPr>
            <w:tcW w:w="2250" w:type="pct"/>
            <w:tcMar>
              <w:left w:w="0" w:type="dxa"/>
              <w:right w:w="0" w:type="dxa"/>
            </w:tcMar>
            <w:vAlign w:val="center"/>
          </w:tcPr>
          <w:p>
            <w:pPr>
              <w:jc w:val="right"/>
              <w:spacing w:after="0" w:line="240" w:lineRule="auto"/>
            </w:pPr>
            <w:r>
              <w:rPr>
                <w:rFonts w:ascii="Consolas" w:hAnsi="Consolas" w:cs="Consolas"/>
                <w:b/>
                <w:bCs/>
                <w:caps/>
                <w:spacing w:val="20"/>
                <w:color w:val="0E1721" w:themeColor="text1"/>
                <w:sz w:val="20"/>
                <w:szCs w:val="20"/>
              </w:rPr>
              <w:t xml:space="preserve">Report no. [number]</w:t>
            </w:r>
          </w:p>
          <w:p>
            <w:pPr>
              <w:jc w:val="right"/>
              <w:spacing w:after="0" w:line="240" w:lineRule="auto"/>
            </w:pPr>
            <w:r>
              <w:rPr>
                <w:rFonts w:ascii="Consolas" w:hAnsi="Consolas" w:cs="Consolas"/>
                <w:caps/>
                <w:spacing w:val="20"/>
                <w:color w:val="46515B" w:themeColor="text2"/>
                <w:sz w:val="20"/>
                <w:szCs w:val="20"/>
              </w:rPr>
              <w:t xml:space="preserve">[Date]</w:t>
            </w:r>
          </w:p>
        </w:tc>
      </w:tr>
    </w:tbl>
    <w:p>
      <w:pPr>
        <w:spacing w:before="1280"/>
      </w:pPr>
    </w:p>
    <w:p>
      <w:pPr>
        <w:spacing w:before="0" w:after="80"/>
        <w:jc w:val="left"/>
      </w:pPr>
      <w:r>
        <w:rPr>
          <w:rFonts w:ascii="Consolas" w:hAnsi="Consolas" w:cs="Consolas"/>
          <w:caps/>
          <w:spacing w:val="40"/>
          <w:color w:val="FF5D00" w:themeColor="accent1"/>
          <w:sz w:val="18"/>
          <w:szCs w:val="18"/>
        </w:rPr>
        <w:t xml:space="preserve">Technical report</w:t>
      </w:r>
    </w:p>
    <w:p>
      <w:pPr>
        <w:pStyle w:val="Title"/>
        <w:spacing w:after="40"/>
      </w:pPr>
      <w:fldSimple w:instr=" MERGEFIELD DOCUMENT_TITLE ">
        <w:r>
          <w:t xml:space="preserve">[Document title]</w:t>
        </w:r>
      </w:fldSimple>
    </w:p>
    <w:p>
      <w:pPr>
        <w:spacing w:before="0" w:after="200"/>
        <w:ind w:right="6235"/>
        <w:pBdr>
          <w:bottom w:val="single" w:sz="32" w:space="1" w:color="FF5D00" w:themeColor="accent1"/>
        </w:pBdr>
      </w:pPr>
      <w:r>
        <w:rPr>
          <w:sz w:val="2"/>
        </w:rPr>
      </w:r>
    </w:p>
    <w:p>
      <w:pPr>
        <w:pStyle w:val="Subtitle"/>
      </w:pPr>
      <w:fldSimple w:instr=" MERGEFIELD SUBTITLE ">
        <w:r>
          <w:t xml:space="preserve">[Subtitle or one-line scope]</w:t>
        </w:r>
      </w:fldSimple>
    </w:p>
    <w:p>
      <w:pPr>
        <w:spacing w:before="4400"/>
      </w:pPr>
    </w:p>
    <w:p>
      <w:pPr>
        <w:spacing w:after="60"/>
      </w:pPr>
      <w:r>
        <w:rPr>
          <w:rFonts w:ascii="Consolas" w:hAnsi="Consolas" w:cs="Consolas"/>
          <w:caps/>
          <w:spacing w:val="30"/>
          <w:color w:val="46515B" w:themeColor="text2"/>
          <w:sz w:val="16"/>
          <w:szCs w:val="16"/>
        </w:rPr>
        <w:t xml:space="preserve">Document control</w:t>
      </w:r>
    </w:p>
    <w:tbl>
      <w:tblPr>
        <w:tblW w:w="5000" w:type="pct"/>
        <w:tblBorders>
          <w:top w:val="nil"/>
          <w:left w:val="nil"/>
          <w:bottom w:val="nil"/>
          <w:right w:val="nil"/>
          <w:insideH w:val="nil"/>
          <w:insideV w:val="nil"/>
        </w:tblBorders>
        <w:tblLook w:val="0000" w:firstRow="0" w:lastRow="0" w:firstColumn="0" w:lastColumn="0" w:noHBand="1" w:noVBand="1"/>
      </w:tblPr>
      <w:tblGrid>
        <w:gridCol w:w="1860"/>
        <w:gridCol w:w="2820"/>
        <w:gridCol w:w="1860"/>
        <w:gridCol w:w="2820"/>
      </w:tblGrid>
      <w:tr>
        <w:trPr>
          <w:cantSplit/>
        </w:trPr>
        <w:tc>
          <w:tcPr>
            <w:tcW w:w="1860" w:type="dxa"/>
            <w:shd w:val="clear" w:color="auto" w:fill="E3E3E3"/>
            <w:tcMar>
              <w:top w:w="100" w:type="dxa"/>
              <w:left w:w="200" w:type="dxa"/>
              <w:bottom w:w="100" w:type="dxa"/>
              <w:right w:w="200" w:type="dxa"/>
            </w:tcMar>
          </w:tcPr>
          <w:p>
            <w:pPr>
              <w:spacing w:after="0" w:line="240" w:lineRule="auto"/>
            </w:pPr>
            <w:r>
              <w:rPr>
                <w:rFonts w:ascii="Consolas" w:hAnsi="Consolas" w:cs="Consolas"/>
                <w:caps/>
                <w:spacing w:val="30"/>
                <w:color w:val="46515B" w:themeColor="text2"/>
                <w:sz w:val="16"/>
                <w:szCs w:val="16"/>
              </w:rPr>
              <w:t xml:space="preserve">Authors</w:t>
            </w:r>
          </w:p>
        </w:tc>
        <w:tc>
          <w:tcPr>
            <w:tcW w:w="2820" w:type="dxa"/>
            <w:shd w:val="clear" w:color="auto" w:fill="E3E3E3"/>
            <w:tcMar>
              <w:top w:w="100" w:type="dxa"/>
              <w:left w:w="200" w:type="dxa"/>
              <w:bottom w:w="100" w:type="dxa"/>
              <w:right w:w="200" w:type="dxa"/>
            </w:tcMar>
          </w:tcPr>
          <w:p>
            <w:pPr>
              <w:spacing w:after="0" w:line="240" w:lineRule="auto"/>
            </w:pPr>
            <w:fldSimple w:instr=" MERGEFIELD AUTHORS ">
              <w:r>
                <w:rPr>
                  <w:rFonts w:ascii="Consolas" w:hAnsi="Consolas" w:cs="Consolas"/>
                  <w:color w:val="0E1721" w:themeColor="text1"/>
                  <w:sz w:val="18"/>
                  <w:szCs w:val="18"/>
                </w:rPr>
                <w:t xml:space="preserve">[Author names]</w:t>
              </w:r>
            </w:fldSimple>
          </w:p>
        </w:tc>
        <w:tc>
          <w:tcPr>
            <w:tcW w:w="1860" w:type="dxa"/>
            <w:shd w:val="clear" w:color="auto" w:fill="E3E3E3"/>
            <w:tcMar>
              <w:top w:w="100" w:type="dxa"/>
              <w:left w:w="200" w:type="dxa"/>
              <w:bottom w:w="100" w:type="dxa"/>
              <w:right w:w="200" w:type="dxa"/>
            </w:tcMar>
          </w:tcPr>
          <w:p>
            <w:pPr>
              <w:spacing w:after="0" w:line="240" w:lineRule="auto"/>
            </w:pPr>
            <w:r>
              <w:rPr>
                <w:rFonts w:ascii="Consolas" w:hAnsi="Consolas" w:cs="Consolas"/>
                <w:caps/>
                <w:spacing w:val="30"/>
                <w:color w:val="46515B" w:themeColor="text2"/>
                <w:sz w:val="16"/>
                <w:szCs w:val="16"/>
              </w:rPr>
              <w:t xml:space="preserve">Version</w:t>
            </w:r>
          </w:p>
        </w:tc>
        <w:tc>
          <w:tcPr>
            <w:tcW w:w="2820" w:type="dxa"/>
            <w:shd w:val="clear" w:color="auto" w:fill="E3E3E3"/>
            <w:tcMar>
              <w:top w:w="100" w:type="dxa"/>
              <w:left w:w="200" w:type="dxa"/>
              <w:bottom w:w="100" w:type="dxa"/>
              <w:right w:w="200" w:type="dxa"/>
            </w:tcMar>
          </w:tcPr>
          <w:p>
            <w:pPr>
              <w:spacing w:after="0" w:line="240" w:lineRule="auto"/>
            </w:pPr>
            <w:fldSimple w:instr=" MERGEFIELD VERSION ">
              <w:r>
                <w:rPr>
                  <w:rFonts w:ascii="Consolas" w:hAnsi="Consolas" w:cs="Consolas"/>
                  <w:color w:val="0E1721" w:themeColor="text1"/>
                  <w:sz w:val="18"/>
                  <w:szCs w:val="18"/>
                </w:rPr>
                <w:t xml:space="preserve">[0.1.0]</w:t>
              </w:r>
            </w:fldSimple>
          </w:p>
        </w:tc>
      </w:tr>
      <w:tr>
        <w:trPr>
          <w:cantSplit/>
        </w:trPr>
        <w:tc>
          <w:tcPr>
            <w:tcW w:w="1860" w:type="dxa"/>
            <w:shd w:val="clear" w:color="auto" w:fill="E3E3E3"/>
            <w:tcMar>
              <w:top w:w="100" w:type="dxa"/>
              <w:left w:w="200" w:type="dxa"/>
              <w:bottom w:w="100" w:type="dxa"/>
              <w:right w:w="200" w:type="dxa"/>
            </w:tcMar>
          </w:tcPr>
          <w:p>
            <w:pPr>
              <w:spacing w:after="0" w:line="240" w:lineRule="auto"/>
            </w:pPr>
            <w:r>
              <w:rPr>
                <w:rFonts w:ascii="Consolas" w:hAnsi="Consolas" w:cs="Consolas"/>
                <w:caps/>
                <w:spacing w:val="30"/>
                <w:color w:val="46515B" w:themeColor="text2"/>
                <w:sz w:val="16"/>
                <w:szCs w:val="16"/>
              </w:rPr>
              <w:t xml:space="preserve">Status</w:t>
            </w:r>
          </w:p>
        </w:tc>
        <w:tc>
          <w:tcPr>
            <w:tcW w:w="2820" w:type="dxa"/>
            <w:shd w:val="clear" w:color="auto" w:fill="E3E3E3"/>
            <w:tcMar>
              <w:top w:w="100" w:type="dxa"/>
              <w:left w:w="200" w:type="dxa"/>
              <w:bottom w:w="100" w:type="dxa"/>
              <w:right w:w="200" w:type="dxa"/>
            </w:tcMar>
          </w:tcPr>
          <w:p>
            <w:pPr>
              <w:spacing w:after="0" w:line="240" w:lineRule="auto"/>
            </w:pPr>
            <w:fldSimple w:instr=" MERGEFIELD STATUS ">
              <w:r>
                <w:rPr>
                  <w:rFonts w:ascii="Consolas" w:hAnsi="Consolas" w:cs="Consolas"/>
                  <w:color w:val="0E1721" w:themeColor="text1"/>
                  <w:sz w:val="18"/>
                  <w:szCs w:val="18"/>
                </w:rPr>
                <w:t xml:space="preserve">[Draft / Final]</w:t>
              </w:r>
            </w:fldSimple>
          </w:p>
        </w:tc>
        <w:tc>
          <w:tcPr>
            <w:tcW w:w="1860" w:type="dxa"/>
            <w:shd w:val="clear" w:color="auto" w:fill="E3E3E3"/>
            <w:tcMar>
              <w:top w:w="100" w:type="dxa"/>
              <w:left w:w="200" w:type="dxa"/>
              <w:bottom w:w="100" w:type="dxa"/>
              <w:right w:w="200" w:type="dxa"/>
            </w:tcMar>
          </w:tcPr>
          <w:p>
            <w:pPr>
              <w:spacing w:after="0" w:line="240" w:lineRule="auto"/>
            </w:pPr>
            <w:r>
              <w:rPr>
                <w:rFonts w:ascii="Consolas" w:hAnsi="Consolas" w:cs="Consolas"/>
                <w:caps/>
                <w:spacing w:val="30"/>
                <w:color w:val="46515B" w:themeColor="text2"/>
                <w:sz w:val="16"/>
                <w:szCs w:val="16"/>
              </w:rPr>
              <w:t xml:space="preserve">Classification</w:t>
            </w:r>
          </w:p>
        </w:tc>
        <w:tc>
          <w:tcPr>
            <w:tcW w:w="2820" w:type="dxa"/>
            <w:shd w:val="clear" w:color="auto" w:fill="E3E3E3"/>
            <w:tcMar>
              <w:top w:w="100" w:type="dxa"/>
              <w:left w:w="200" w:type="dxa"/>
              <w:bottom w:w="100" w:type="dxa"/>
              <w:right w:w="200" w:type="dxa"/>
            </w:tcMar>
          </w:tcPr>
          <w:p>
            <w:pPr>
              <w:spacing w:after="0" w:line="240" w:lineRule="auto"/>
            </w:pPr>
            <w:fldSimple w:instr=" MERGEFIELD CLASSIFICATION ">
              <w:r>
                <w:rPr>
                  <w:rFonts w:ascii="Consolas" w:hAnsi="Consolas" w:cs="Consolas"/>
                  <w:color w:val="0E1721" w:themeColor="text1"/>
                  <w:sz w:val="18"/>
                  <w:szCs w:val="18"/>
                </w:rPr>
                <w:t xml:space="preserve">[Marking, if any]</w:t>
              </w:r>
            </w:fldSimple>
          </w:p>
        </w:tc>
      </w:tr>
      <w:tr>
        <w:trPr>
          <w:cantSplit/>
        </w:trPr>
        <w:tc>
          <w:tcPr>
            <w:tcW w:w="1860" w:type="dxa"/>
            <w:shd w:val="clear" w:color="auto" w:fill="E3E3E3"/>
            <w:tcMar>
              <w:top w:w="100" w:type="dxa"/>
              <w:left w:w="200" w:type="dxa"/>
              <w:bottom w:w="100" w:type="dxa"/>
              <w:right w:w="200" w:type="dxa"/>
            </w:tcMar>
          </w:tcPr>
          <w:p>
            <w:pPr>
              <w:spacing w:after="0" w:line="240" w:lineRule="auto"/>
            </w:pPr>
            <w:r>
              <w:rPr>
                <w:rFonts w:ascii="Consolas" w:hAnsi="Consolas" w:cs="Consolas"/>
                <w:caps/>
                <w:spacing w:val="30"/>
                <w:color w:val="46515B" w:themeColor="text2"/>
                <w:sz w:val="16"/>
                <w:szCs w:val="16"/>
              </w:rPr>
              <w:t xml:space="preserve">Keywords</w:t>
            </w:r>
          </w:p>
        </w:tc>
        <w:tc>
          <w:tcPr>
            <w:tcW w:w="2820" w:type="dxa"/>
            <w:shd w:val="clear" w:color="auto" w:fill="E3E3E3"/>
            <w:tcMar>
              <w:top w:w="100" w:type="dxa"/>
              <w:left w:w="200" w:type="dxa"/>
              <w:bottom w:w="100" w:type="dxa"/>
              <w:right w:w="200" w:type="dxa"/>
            </w:tcMar>
          </w:tcPr>
          <w:p>
            <w:pPr>
              <w:spacing w:after="0" w:line="240" w:lineRule="auto"/>
            </w:pPr>
            <w:fldSimple w:instr=" MERGEFIELD KEYWORDS ">
              <w:r>
                <w:rPr>
                  <w:rFonts w:ascii="Consolas" w:hAnsi="Consolas" w:cs="Consolas"/>
                  <w:color w:val="0E1721" w:themeColor="text1"/>
                  <w:sz w:val="18"/>
                  <w:szCs w:val="18"/>
                </w:rPr>
                <w:t xml:space="preserve">[keyword, keyword, …]</w:t>
              </w:r>
            </w:fldSimple>
          </w:p>
        </w:tc>
        <w:tc>
          <w:tcPr>
            <w:tcW w:w="1860" w:type="dxa"/>
            <w:shd w:val="clear" w:color="auto" w:fill="E3E3E3"/>
            <w:tcMar>
              <w:top w:w="100" w:type="dxa"/>
              <w:left w:w="200" w:type="dxa"/>
              <w:bottom w:w="100" w:type="dxa"/>
              <w:right w:w="200" w:type="dxa"/>
            </w:tcMar>
          </w:tcPr>
          <w:p>
            <w:pPr>
              <w:spacing w:after="0" w:line="240" w:lineRule="auto"/>
            </w:pPr>
            <w:r>
              <w:rPr>
                <w:rFonts w:ascii="Consolas" w:hAnsi="Consolas" w:cs="Consolas"/>
                <w:caps/>
                <w:spacing w:val="30"/>
                <w:color w:val="46515B" w:themeColor="text2"/>
                <w:sz w:val="16"/>
                <w:szCs w:val="16"/>
              </w:rPr>
              <w:t xml:space="preserve">Reference</w:t>
            </w:r>
          </w:p>
        </w:tc>
        <w:tc>
          <w:tcPr>
            <w:tcW w:w="2820" w:type="dxa"/>
            <w:shd w:val="clear" w:color="auto" w:fill="E3E3E3"/>
            <w:tcMar>
              <w:top w:w="100" w:type="dxa"/>
              <w:left w:w="200" w:type="dxa"/>
              <w:bottom w:w="100" w:type="dxa"/>
              <w:right w:w="200" w:type="dxa"/>
            </w:tcMar>
          </w:tcPr>
          <w:p>
            <w:pPr>
              <w:spacing w:after="0" w:line="240" w:lineRule="auto"/>
            </w:pPr>
            <w:fldSimple w:instr=" MERGEFIELD REFERENCE ">
              <w:r>
                <w:rPr>
                  <w:rFonts w:ascii="Consolas" w:hAnsi="Consolas" w:cs="Consolas"/>
                  <w:color w:val="0E1721" w:themeColor="text1"/>
                  <w:sz w:val="18"/>
                  <w:szCs w:val="18"/>
                </w:rPr>
                <w:t xml:space="preserve">[Project / program]</w:t>
              </w:r>
            </w:fldSimple>
          </w:p>
        </w:tc>
      </w:tr>
    </w:tbl>
    <w:p>
      <w:pPr>
        <w:spacing w:after="0"/>
        <w:sectPr>
          <w:type w:val="nextPage"/>
          <w:headerReference w:type="default" r:id="rId7"/>
          <w:footerReference w:type="default" r:id="rId8"/>
          <w:pgSz w:w="12240" w:h="15840"/>
          <w:pgMar w:top="1440" w:right="1440" w:bottom="1440" w:left="1440" w:header="720" w:footer="720" w:gutter="0"/>
          <w:cols w:space="720"/>
          <w:docGrid w:linePitch="360"/>
        </w:sectPr>
      </w:pPr>
    </w:p>
    <w:p>
      <w:pPr>
        <w:spacing w:before="0" w:after="80"/>
        <w:jc w:val="left"/>
      </w:pPr>
      <w:r>
        <w:rPr>
          <w:rFonts w:ascii="Consolas" w:hAnsi="Consolas" w:cs="Consolas"/>
          <w:caps/>
          <w:spacing w:val="40"/>
          <w:color w:val="FF5D00" w:themeColor="accent1"/>
          <w:sz w:val="18"/>
          <w:szCs w:val="18"/>
        </w:rPr>
        <w:t xml:space="preserve">Abstract</w:t>
      </w:r>
    </w:p>
    <w:p>
      <w:pPr>
        <w:pStyle w:val="PolyrhythmAbstract"/>
      </w:pPr>
      <w:r>
        <w:t xml:space="preserve">[Abstract — a short, self-contained summary of the problem, approach, key results, and conclusions, written for a reader deciding whether to read on. For a whitepaper, retitle this 'Executive summary' and frame the problem and the solution.]</w:t>
      </w:r>
    </w:p>
    <w:p>
      <w:pPr>
        <w:keepNext/>
        <w:pBdr>
          <w:bottom w:val="single" w:sz="6" w:space="6" w:color="46515B" w:themeColor="text2"/>
        </w:pBdr>
        <w:spacing w:before="0" w:after="160"/>
      </w:pPr>
      <w:r>
        <w:rPr>
          <w:rFonts w:ascii="Corbel" w:hAnsi="Corbel" w:cs="Corbel"/>
          <w:b/>
          <w:bCs/>
          <w:color w:val="0E1721" w:themeColor="text1"/>
          <w:sz w:val="40"/>
          <w:szCs w:val="40"/>
        </w:rPr>
        <w:t xml:space="preserve">Contents</w:t>
      </w:r>
    </w:p>
    <w:p>
      <w:fldSimple w:instr=" TOC \o &quot;1-3&quot; \h \z \u ">
        <w:r>
          <w:t xml:space="preserve">Right-click and select 'Update Field' to generate the table of contents.</w:t>
        </w:r>
      </w:fldSimple>
    </w:p>
    <w:p>
      <w:pPr>
        <w:keepNext/>
        <w:spacing w:before="120" w:after="40"/>
      </w:pPr>
      <w:r>
        <w:rPr>
          <w:rFonts w:ascii="Corbel" w:hAnsi="Corbel" w:cs="Corbel"/>
          <w:b/>
          <w:bCs/>
          <w:color w:val="46515B" w:themeColor="text2"/>
          <w:sz w:val="24"/>
          <w:szCs w:val="24"/>
        </w:rPr>
        <w:t xml:space="preserve">Figures</w:t>
      </w:r>
    </w:p>
    <w:p>
      <w:fldSimple w:instr=" TOC \h \z \c &quot;Figure&quot; ">
        <w:r>
          <w:t xml:space="preserve">Right-click and select 'Update Field' to build the list of figures.</w:t>
        </w:r>
      </w:fldSimple>
    </w:p>
    <w:p>
      <w:pPr>
        <w:keepNext/>
        <w:spacing w:before="120" w:after="40"/>
      </w:pPr>
      <w:r>
        <w:rPr>
          <w:rFonts w:ascii="Corbel" w:hAnsi="Corbel" w:cs="Corbel"/>
          <w:b/>
          <w:bCs/>
          <w:color w:val="46515B" w:themeColor="text2"/>
          <w:sz w:val="24"/>
          <w:szCs w:val="24"/>
        </w:rPr>
        <w:t xml:space="preserve">Tables</w:t>
      </w:r>
    </w:p>
    <w:p>
      <w:fldSimple w:instr=" TOC \h \z \c &quot;Table&quot; ">
        <w:r>
          <w:t xml:space="preserve">Right-click and select 'Update Field' to build the list of tables.</w:t>
        </w:r>
      </w:fldSimple>
    </w:p>
    <w:p>
      <w:r>
        <w:br w:type="page"/>
      </w:r>
    </w:p>
    <w:bookmarkStart w:id="900" w:name="POLYBRAND_BODY"/>
    <w:p>
      <w:pPr>
        <w:pStyle w:val="Heading1"/>
      </w:pPr>
      <w:r>
        <w:t xml:space="preserve">Introduction</w:t>
      </w:r>
    </w:p>
    <w:p>
      <w:pPr>
        <w:pStyle w:val="Normal"/>
      </w:pPr>
      <w:r>
        <w:t xml:space="preserve">Replace this section with the report narrative. State the purpose, the scope and boundary of the work, the intended audience, and the question the report answers. Body copy is set in Corbel; identifiers, tags, and terminal cues use the mono Metadata style.</w:t>
      </w:r>
    </w:p>
    <w:p>
      <w:pPr>
        <w:pStyle w:val="Heading1"/>
      </w:pPr>
      <w:r>
        <w:t xml:space="preserve">Background</w:t>
      </w:r>
    </w:p>
    <w:p>
      <w:pPr>
        <w:pStyle w:val="Normal"/>
      </w:pPr>
      <w:r>
        <w:t xml:space="preserve">Establish the context: the problem or system under study, relevant prior work, and why it matters now. For a whitepaper, this is where the market drivers and the limitations of current approaches belong, building toward the solution.</w:t>
      </w:r>
    </w:p>
    <w:p>
      <w:pPr>
        <w:pStyle w:val="Heading1"/>
      </w:pPr>
      <w:r>
        <w:t xml:space="preserve">Approach</w:t>
      </w:r>
    </w:p>
    <w:p>
      <w:pPr>
        <w:pStyle w:val="Heading2"/>
      </w:pPr>
      <w:r>
        <w:t xml:space="preserve">Method</w:t>
      </w:r>
    </w:p>
    <w:p>
      <w:pPr>
        <w:pStyle w:val="Normal"/>
      </w:pPr>
      <w:r>
        <w:t xml:space="preserve">Describe the method, architecture, or experimental setup in enough detail to be reproducible and reviewable.</w:t>
      </w:r>
    </w:p>
    <w:p>
      <w:pPr>
        <w:pStyle w:val="ListParagraph"/>
        <w:numPr>
          <w:ilvl w:val="0"/>
          <w:numId w:val="2"/>
        </w:numPr>
      </w:pPr>
      <w:r>
        <w:t xml:space="preserve">Define the boundary, inputs, and assumptions.</w:t>
      </w:r>
    </w:p>
    <w:p>
      <w:pPr>
        <w:pStyle w:val="ListParagraph"/>
        <w:numPr>
          <w:ilvl w:val="0"/>
          <w:numId w:val="2"/>
        </w:numPr>
      </w:pPr>
      <w:r>
        <w:t xml:space="preserve">Describe the procedure or design under evaluation.</w:t>
      </w:r>
    </w:p>
    <w:p>
      <w:pPr>
        <w:pStyle w:val="ListParagraph"/>
        <w:numPr>
          <w:ilvl w:val="0"/>
          <w:numId w:val="2"/>
        </w:numPr>
      </w:pPr>
      <w:r>
        <w:t xml:space="preserve">State how results were measured and validated.</w:t>
      </w:r>
    </w:p>
    <w:p>
      <w:pPr>
        <w:pStyle w:val="Heading1"/>
      </w:pPr>
      <w:r>
        <w:t xml:space="preserve">Results</w:t>
      </w:r>
    </w:p>
    <w:p>
      <w:pPr>
        <w:pStyle w:val="Normal"/>
      </w:pPr>
      <w:r>
        <w:t xml:space="preserve">Present results clearly; a written explanation of how they were obtained and what they mean matters as much as the data itself.</w:t>
      </w:r>
    </w:p>
    <w:tbl>
      <w:tblPr>
        <w:tblW w:w="5000" w:type="pct"/>
        <w:tblBorders>
          <w:top w:val="nil"/>
          <w:left w:val="nil"/>
          <w:bottom w:val="nil"/>
          <w:right w:val="nil"/>
          <w:insideH w:val="nil"/>
          <w:insideV w:val="nil"/>
        </w:tblBorders>
        <w:tblLook w:val="0000" w:firstRow="0" w:lastRow="0" w:firstColumn="0" w:lastColumn="0" w:noHBand="1" w:noVBand="1"/>
      </w:tblPr>
      <w:tblGrid>
        <w:gridCol w:w="9360"/>
      </w:tblGrid>
      <w:tr>
        <w:trPr>
          <w:cantSplit/>
        </w:trPr>
        <w:tc>
          <w:tcPr>
            <w:tcW w:w="5000" w:type="pct"/>
            <w:shd w:val="clear" w:color="auto" w:fill="E3E3E3"/>
            <w:tcMar>
              <w:top w:w="520" w:type="dxa"/>
              <w:left w:w="560" w:type="dxa"/>
              <w:bottom w:w="520" w:type="dxa"/>
              <w:right w:w="560" w:type="dxa"/>
            </w:tcMar>
          </w:tcPr>
          <w:p>
            <w:pPr>
              <w:jc w:val="center"/>
              <w:spacing w:after="0"/>
            </w:pPr>
            <w:r>
              <w:rPr>
                <w:i/>
                <w:iCs/>
                <w:color w:val="46515B" w:themeColor="text2"/>
              </w:rPr>
              <w:t xml:space="preserve">[Figure: insert a diagram, chart, or annotated screenshot]</w:t>
            </w:r>
          </w:p>
        </w:tc>
      </w:tr>
    </w:tbl>
    <w:p>
      <w:pPr>
        <w:pStyle w:val="Caption"/>
      </w:pPr>
      <w:r>
        <w:t xml:space="preserve">Figure </w:t>
      </w:r>
      <w:fldSimple w:instr=" SEQ Figure \* ARABIC ">
        <w:r>
          <w:rPr>
            <w:noProof/>
          </w:rPr>
          <w:t>1</w:t>
        </w:r>
      </w:fldSimple>
      <w:r>
        <w:t xml:space="preserve"> - Example figure. Update fields to renumber; it lists under Figures.</w:t>
      </w:r>
    </w:p>
    <w:p>
      <w:pPr>
        <w:pStyle w:val="Normal"/>
      </w:pPr>
      <w:r>
        <w:t xml:space="preserve">Use tables for comparative or tabular data. Status stays text-based, never colour-only.</w:t>
      </w:r>
    </w:p>
    <w:tbl>
      <w:tblPr>
        <w:tblStyle w:val="PolyrhythmTable"/>
        <w:tblW w:w="5000" w:type="pct"/>
        <w:tblLook w:val="04A0" w:firstRow="1" w:lastRow="0" w:firstColumn="0" w:lastColumn="0" w:noHBand="0" w:noVBand="1"/>
      </w:tblPr>
      <w:tblGrid>
        <w:gridCol/>
        <w:gridCol/>
        <w:gridCol/>
        <w:gridCol/>
      </w:tblGrid>
      <w:tr>
        <w:tc>
          <w:tcPr>
            <w:tcW w:w="0" w:type="auto"/>
          </w:tcPr>
          <w:p>
            <w:pPr>
              <w:pStyle w:val="Normal"/>
              <w:spacing w:after="0"/>
            </w:pPr>
            <w:r>
              <w:t xml:space="preserve">Metric</w:t>
            </w:r>
          </w:p>
        </w:tc>
        <w:tc>
          <w:tcPr>
            <w:tcW w:w="0" w:type="auto"/>
          </w:tcPr>
          <w:p>
            <w:pPr>
              <w:pStyle w:val="Normal"/>
              <w:spacing w:after="0"/>
            </w:pPr>
            <w:r>
              <w:t xml:space="preserve">Baseline</w:t>
            </w:r>
          </w:p>
        </w:tc>
        <w:tc>
          <w:tcPr>
            <w:tcW w:w="0" w:type="auto"/>
          </w:tcPr>
          <w:p>
            <w:pPr>
              <w:pStyle w:val="Normal"/>
              <w:spacing w:after="0"/>
            </w:pPr>
            <w:r>
              <w:t xml:space="preserve">Result</w:t>
            </w:r>
          </w:p>
        </w:tc>
        <w:tc>
          <w:tcPr>
            <w:tcW w:w="0" w:type="auto"/>
          </w:tcPr>
          <w:p>
            <w:pPr>
              <w:pStyle w:val="Normal"/>
              <w:spacing w:after="0"/>
            </w:pPr>
            <w:r>
              <w:t xml:space="preserve">Δ</w:t>
            </w:r>
          </w:p>
        </w:tc>
      </w:tr>
      <w:tr>
        <w:tc>
          <w:tcPr>
            <w:tcW w:w="0" w:type="auto"/>
          </w:tcPr>
          <w:p>
            <w:pPr>
              <w:pStyle w:val="Normal"/>
              <w:spacing w:after="0"/>
            </w:pPr>
            <w:r>
              <w:t xml:space="preserve">[Metric A]</w:t>
            </w:r>
          </w:p>
        </w:tc>
        <w:tc>
          <w:tcPr>
            <w:tcW w:w="0" w:type="auto"/>
          </w:tcPr>
          <w:p>
            <w:pPr>
              <w:pStyle w:val="Normal"/>
              <w:spacing w:after="0"/>
            </w:pPr>
            <w:r>
              <w:t xml:space="preserve">[value]</w:t>
            </w:r>
          </w:p>
        </w:tc>
        <w:tc>
          <w:tcPr>
            <w:tcW w:w="0" w:type="auto"/>
          </w:tcPr>
          <w:p>
            <w:pPr>
              <w:pStyle w:val="Normal"/>
              <w:spacing w:after="0"/>
            </w:pPr>
            <w:r>
              <w:t xml:space="preserve">[value]</w:t>
            </w:r>
          </w:p>
        </w:tc>
        <w:tc>
          <w:tcPr>
            <w:tcW w:w="0" w:type="auto"/>
          </w:tcPr>
          <w:p>
            <w:pPr>
              <w:pStyle w:val="Normal"/>
              <w:spacing w:after="0"/>
            </w:pPr>
            <w:r>
              <w:t xml:space="preserve">[+/-]</w:t>
            </w:r>
          </w:p>
        </w:tc>
      </w:tr>
      <w:tr>
        <w:tc>
          <w:tcPr>
            <w:tcW w:w="0" w:type="auto"/>
          </w:tcPr>
          <w:p>
            <w:pPr>
              <w:pStyle w:val="Normal"/>
              <w:spacing w:after="0"/>
            </w:pPr>
            <w:r>
              <w:t xml:space="preserve">[Metric B]</w:t>
            </w:r>
          </w:p>
        </w:tc>
        <w:tc>
          <w:tcPr>
            <w:tcW w:w="0" w:type="auto"/>
          </w:tcPr>
          <w:p>
            <w:pPr>
              <w:pStyle w:val="Normal"/>
              <w:spacing w:after="0"/>
            </w:pPr>
            <w:r>
              <w:t xml:space="preserve">[value]</w:t>
            </w:r>
          </w:p>
        </w:tc>
        <w:tc>
          <w:tcPr>
            <w:tcW w:w="0" w:type="auto"/>
          </w:tcPr>
          <w:p>
            <w:pPr>
              <w:pStyle w:val="Normal"/>
              <w:spacing w:after="0"/>
            </w:pPr>
            <w:r>
              <w:t xml:space="preserve">[value]</w:t>
            </w:r>
          </w:p>
        </w:tc>
        <w:tc>
          <w:tcPr>
            <w:tcW w:w="0" w:type="auto"/>
          </w:tcPr>
          <w:p>
            <w:pPr>
              <w:pStyle w:val="Normal"/>
              <w:spacing w:after="0"/>
            </w:pPr>
            <w:r>
              <w:t xml:space="preserve">[+/-]</w:t>
            </w:r>
          </w:p>
        </w:tc>
      </w:tr>
    </w:tbl>
    <w:p>
      <w:pPr>
        <w:pStyle w:val="Caption"/>
      </w:pPr>
      <w:r>
        <w:t xml:space="preserve">Table </w:t>
      </w:r>
      <w:fldSimple w:instr=" SEQ Table \* ARABIC ">
        <w:r>
          <w:rPr>
            <w:noProof/>
          </w:rPr>
          <w:t>1</w:t>
        </w:r>
      </w:fldSimple>
      <w:r>
        <w:t xml:space="preserve"> - Example results table. Update fields to renumber; it lists under Tables.</w:t>
      </w:r>
    </w:p>
    <w:p>
      <w:pPr>
        <w:pStyle w:val="Heading1"/>
      </w:pPr>
      <w:r>
        <w:t xml:space="preserve">Discussion</w:t>
      </w:r>
    </w:p>
    <w:p>
      <w:pPr>
        <w:pStyle w:val="Normal"/>
      </w:pPr>
      <w:r>
        <w:t xml:space="preserve">Interpret the results against the objective: what holds, what is uncertain, and what the limitations are.</w:t>
      </w:r>
    </w:p>
    <w:p>
      <w:pPr>
        <w:pStyle w:val="Quote"/>
      </w:pPr>
      <w:r>
        <w:t xml:space="preserve">Held to one production bar, with evidence and reviewability throughout.</w:t>
      </w:r>
    </w:p>
    <w:p>
      <w:pPr>
        <w:pStyle w:val="Heading1"/>
      </w:pPr>
      <w:r>
        <w:t xml:space="preserve">Conclusions and recommendations</w:t>
      </w:r>
    </w:p>
    <w:p>
      <w:pPr>
        <w:pStyle w:val="ListParagraph"/>
        <w:numPr>
          <w:ilvl w:val="0"/>
          <w:numId w:val="1"/>
        </w:numPr>
      </w:pPr>
      <w:r>
        <w:t xml:space="preserve">State the conclusions that answer the question posed in the introduction.</w:t>
      </w:r>
    </w:p>
    <w:p>
      <w:pPr>
        <w:pStyle w:val="ListParagraph"/>
        <w:numPr>
          <w:ilvl w:val="0"/>
          <w:numId w:val="1"/>
        </w:numPr>
      </w:pPr>
      <w:r>
        <w:t xml:space="preserve">Give concrete, prioritised recommendations or next steps.</w:t>
      </w:r>
    </w:p>
    <w:p>
      <w:pPr>
        <w:pStyle w:val="ListParagraph"/>
        <w:numPr>
          <w:ilvl w:val="0"/>
          <w:numId w:val="1"/>
        </w:numPr>
      </w:pPr>
      <w:r>
        <w:t xml:space="preserve">For a whitepaper, close with a clear, practical call to action.</w:t>
      </w:r>
    </w:p>
    <w:bookmarkEnd w:id="900"/>
    <w:p>
      <w:pPr>
        <w:pStyle w:val="Heading1"/>
      </w:pPr>
      <w:r>
        <w:t xml:space="preserve">References</w:t>
      </w:r>
    </w:p>
    <w:p>
      <w:pPr>
        <w:pStyle w:val="ListParagraph"/>
        <w:numPr>
          <w:ilvl w:val="0"/>
          <w:numId w:val="2"/>
        </w:numPr>
      </w:pPr>
      <w:r>
        <w:t xml:space="preserve">[Author], “[Title],” [Publisher / venue], [year].</w:t>
      </w:r>
    </w:p>
    <w:p>
      <w:pPr>
        <w:pStyle w:val="ListParagraph"/>
        <w:numPr>
          <w:ilvl w:val="0"/>
          <w:numId w:val="2"/>
        </w:numPr>
      </w:pPr>
      <w:r>
        <w:t xml:space="preserve">[Author], “[Title],” [Publisher / venue], [year].</w:t>
      </w:r>
    </w:p>
    <w:p>
      <w:pPr>
        <w:pStyle w:val="Heading1"/>
      </w:pPr>
      <w:r>
        <w:t xml:space="preserve">Appendix A — Supporting material</w:t>
      </w:r>
    </w:p>
    <w:p>
      <w:pPr>
        <w:pStyle w:val="Normal"/>
      </w:pPr>
      <w:r>
        <w:t xml:space="preserve">Use appendices for detail that supports but would interrupt the main body: derivations, full data sets, configuration, or code listings.</w:t>
      </w:r>
    </w:p>
    <w:p>
      <w:pPr>
        <w:pStyle w:val="PolyrhythmCode"/>
      </w:pPr>
      <w:r>
        <w:t xml:space="preserve"># Example configuration / listing — set in the Polyrhythm Code style</w:t>
      </w:r>
    </w:p>
    <w:p>
      <w:pPr>
        <w:pStyle w:val="PolyrhythmCode"/>
      </w:pPr>
      <w:r>
        <w:t xml:space="preserve">service: polyrhythm-report</w:t>
      </w:r>
    </w:p>
    <w:p>
      <w:pPr>
        <w:pStyle w:val="PolyrhythmCode"/>
      </w:pPr>
      <w:r>
        <w:t xml:space="preserve">evidence: { sign: true, scan: true }</w:t>
      </w:r>
    </w:p>
    <w:p>
      <w:pPr>
        <w:pStyle w:val="Caption"/>
      </w:pPr>
      <w:r>
        <w:t xml:space="preserve">Listing - example configuration. Apply the 'Polyrhythm Code' style to code blocks.</w:t>
      </w:r>
    </w:p>
    <w:p>
      <w:pPr>
        <w:pStyle w:val="Heading1"/>
      </w:pPr>
      <w:r>
        <w:t xml:space="preserve">Revision history</w:t>
      </w:r>
    </w:p>
    <w:tbl>
      <w:tblPr>
        <w:tblStyle w:val="PolyrhythmTable"/>
        <w:tblW w:w="5000" w:type="pct"/>
        <w:tblLook w:val="04A0" w:firstRow="1" w:lastRow="0" w:firstColumn="0" w:lastColumn="0" w:noHBand="0" w:noVBand="1"/>
      </w:tblPr>
      <w:tblGrid>
        <w:gridCol/>
        <w:gridCol/>
        <w:gridCol/>
        <w:gridCol/>
      </w:tblGrid>
      <w:tr>
        <w:tc>
          <w:tcPr>
            <w:tcW w:w="0" w:type="auto"/>
          </w:tcPr>
          <w:p>
            <w:pPr>
              <w:pStyle w:val="Normal"/>
              <w:spacing w:after="0"/>
            </w:pPr>
            <w:r>
              <w:t xml:space="preserve">Version</w:t>
            </w:r>
          </w:p>
        </w:tc>
        <w:tc>
          <w:tcPr>
            <w:tcW w:w="0" w:type="auto"/>
          </w:tcPr>
          <w:p>
            <w:pPr>
              <w:pStyle w:val="Normal"/>
              <w:spacing w:after="0"/>
            </w:pPr>
            <w:r>
              <w:t xml:space="preserve">Date</w:t>
            </w:r>
          </w:p>
        </w:tc>
        <w:tc>
          <w:tcPr>
            <w:tcW w:w="0" w:type="auto"/>
          </w:tcPr>
          <w:p>
            <w:pPr>
              <w:pStyle w:val="Normal"/>
              <w:spacing w:after="0"/>
            </w:pPr>
            <w:r>
              <w:t xml:space="preserve">Author</w:t>
            </w:r>
          </w:p>
        </w:tc>
        <w:tc>
          <w:tcPr>
            <w:tcW w:w="0" w:type="auto"/>
          </w:tcPr>
          <w:p>
            <w:pPr>
              <w:pStyle w:val="Normal"/>
              <w:spacing w:after="0"/>
            </w:pPr>
            <w:r>
              <w:t xml:space="preserve">Summary</w:t>
            </w:r>
          </w:p>
        </w:tc>
      </w:tr>
      <w:tr>
        <w:tc>
          <w:tcPr>
            <w:tcW w:w="0" w:type="auto"/>
          </w:tcPr>
          <w:p>
            <w:pPr>
              <w:pStyle w:val="Normal"/>
              <w:spacing w:after="0"/>
            </w:pPr>
            <w:r>
              <w:t xml:space="preserve">0.1.0</w:t>
            </w:r>
          </w:p>
        </w:tc>
        <w:tc>
          <w:tcPr>
            <w:tcW w:w="0" w:type="auto"/>
          </w:tcPr>
          <w:p>
            <w:pPr>
              <w:pStyle w:val="Normal"/>
              <w:spacing w:after="0"/>
            </w:pPr>
            <w:r>
              <w:t xml:space="preserve">[Date]</w:t>
            </w:r>
          </w:p>
        </w:tc>
        <w:tc>
          <w:tcPr>
            <w:tcW w:w="0" w:type="auto"/>
          </w:tcPr>
          <w:p>
            <w:pPr>
              <w:pStyle w:val="Normal"/>
              <w:spacing w:after="0"/>
            </w:pPr>
            <w:r>
              <w:t xml:space="preserve">[Author]</w:t>
            </w:r>
          </w:p>
        </w:tc>
        <w:tc>
          <w:tcPr>
            <w:tcW w:w="0" w:type="auto"/>
          </w:tcPr>
          <w:p>
            <w:pPr>
              <w:pStyle w:val="Normal"/>
              <w:spacing w:after="0"/>
            </w:pPr>
            <w:r>
              <w:t xml:space="preserve">Initial draft.</w:t>
            </w:r>
          </w:p>
        </w:tc>
      </w:tr>
    </w:tbl>
    <w:sectPr>
      <w:headerReference w:type="default" r:id="rId9"/>
      <w:footerReference w:type="default" r:id="rI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rbel">
    <w:panose1 w:val="020B0503020204020204"/>
    <w:charset w:val="00"/>
    <w:family w:val="swiss"/>
    <w:pitch w:val="variable"/>
    <w:sig w:usb0="A00002EF" w:usb1="4000A44B" w:usb2="00000000" w:usb3="00000000" w:csb0="0000019F" w:csb1="00000000"/>
  </w:font>
  <w:font w:name="Consolas">
    <w:panose1 w:val="020B0609020204030204"/>
    <w:charset w:val="00"/>
    <w:family w:val="modern"/>
    <w:pitch w:val="fixed"/>
    <w:sig w:usb0="E0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tbl>
    <w:tblPr>
      <w:tblW w:w="5000" w:type="pct"/>
      <w:tblBorders>
        <w:top w:val="nil"/>
        <w:left w:val="nil"/>
        <w:bottom w:val="nil"/>
        <w:right w:val="nil"/>
        <w:insideH w:val="nil"/>
        <w:insideV w:val="nil"/>
      </w:tblBorders>
      <w:tblLook w:val="0000" w:firstRow="0" w:lastRow="0" w:firstColumn="0" w:lastColumn="0" w:noHBand="1" w:noVBand="1"/>
    </w:tblPr>
    <w:tblGrid>
      <w:gridCol w:w="3000"/>
      <w:gridCol w:w="2120"/>
      <w:gridCol w:w="2120"/>
      <w:gridCol w:w="2120"/>
    </w:tblGrid>
    <w:tr>
      <w:trPr>
        <w:cantSplit/>
      </w:trPr>
      <w:tc>
        <w:tcPr>
          <w:tcW w:w="3000" w:type="dxa"/>
          <w:shd w:val="clear" w:color="auto" w:fill="E3E3E3"/>
          <w:tcMar>
            <w:top w:w="120" w:type="dxa"/>
            <w:left w:w="160" w:type="dxa"/>
            <w:bottom w:w="120" w:type="dxa"/>
            <w:right w:w="160" w:type="dxa"/>
          </w:tcMar>
        </w:tcPr>
        <w:p>
          <w:pPr>
            <w:jc w:val="both"/>
            <w:spacing w:after="0" w:line="240" w:lineRule="auto"/>
          </w:pPr>
          <w:r>
            <w:rPr>
              <w:rFonts w:ascii="Consolas" w:hAnsi="Consolas" w:cs="Consolas"/>
              <w:caps/>
              <w:color w:val="0E1721" w:themeColor="text1"/>
              <w:sz w:val="16"/>
              <w:szCs w:val="16"/>
            </w:rPr>
            <w:t xml:space="preserve">Polyrhythm Software, LLC</w:t>
          </w:r>
        </w:p>
      </w:tc>
      <w:tc>
        <w:tcPr>
          <w:tcW w:w="2120" w:type="dxa"/>
          <w:shd w:val="clear" w:color="auto" w:fill="E3E3E3"/>
          <w:tcMar>
            <w:top w:w="120" w:type="dxa"/>
            <w:left w:w="160" w:type="dxa"/>
            <w:bottom w:w="120" w:type="dxa"/>
            <w:right w:w="160" w:type="dxa"/>
          </w:tcMar>
        </w:tcPr>
        <w:p>
          <w:pPr>
            <w:jc w:val="both"/>
            <w:spacing w:after="0" w:line="240" w:lineRule="auto"/>
          </w:pPr>
          <w:r>
            <w:rPr>
              <w:rFonts w:ascii="Consolas" w:hAnsi="Consolas" w:cs="Consolas"/>
              <w:color w:val="46515B" w:themeColor="text2"/>
              <w:sz w:val="16"/>
              <w:szCs w:val="16"/>
            </w:rPr>
            <w:t xml:space="preserve">CAGE 9QAJ2</w:t>
          </w:r>
        </w:p>
      </w:tc>
      <w:tc>
        <w:tcPr>
          <w:tcW w:w="2120" w:type="dxa"/>
          <w:shd w:val="clear" w:color="auto" w:fill="E3E3E3"/>
          <w:tcMar>
            <w:top w:w="120" w:type="dxa"/>
            <w:left w:w="160" w:type="dxa"/>
            <w:bottom w:w="120" w:type="dxa"/>
            <w:right w:w="160" w:type="dxa"/>
          </w:tcMar>
        </w:tcPr>
        <w:p>
          <w:pPr>
            <w:jc w:val="both"/>
            <w:spacing w:after="0" w:line="240" w:lineRule="auto"/>
          </w:pPr>
          <w:r>
            <w:rPr>
              <w:rFonts w:ascii="Consolas" w:hAnsi="Consolas" w:cs="Consolas"/>
              <w:color w:val="46515B" w:themeColor="text2"/>
              <w:sz w:val="16"/>
              <w:szCs w:val="16"/>
            </w:rPr>
            <w:t xml:space="preserve">UEI R213CFAESU89</w:t>
          </w:r>
        </w:p>
      </w:tc>
      <w:tc>
        <w:tcPr>
          <w:tcW w:w="2120" w:type="dxa"/>
          <w:shd w:val="clear" w:color="auto" w:fill="E3E3E3"/>
          <w:tcMar>
            <w:top w:w="120" w:type="dxa"/>
            <w:left w:w="160" w:type="dxa"/>
            <w:bottom w:w="120" w:type="dxa"/>
            <w:right w:w="160" w:type="dxa"/>
          </w:tcMar>
        </w:tcPr>
        <w:p>
          <w:pPr>
            <w:jc w:val="both"/>
            <w:spacing w:after="0" w:line="240" w:lineRule="auto"/>
          </w:pPr>
          <w:r>
            <w:rPr>
              <w:rFonts w:ascii="Consolas" w:hAnsi="Consolas" w:cs="Consolas"/>
              <w:color w:val="46515B" w:themeColor="text2"/>
              <w:sz w:val="16"/>
              <w:szCs w:val="16"/>
            </w:rPr>
            <w:t xml:space="preserve">polyrhythm.com</w:t>
          </w:r>
        </w:p>
      </w:tc>
    </w:tr>
  </w:tbl>
  <w:p>
    <w:pPr>
      <w:pStyle w:val="Footer"/>
      <w:jc w:val="center"/>
      <w:spacing w:before="60" w:after="0"/>
    </w:pPr>
    <w:r>
      <w:rPr>
        <w:rStyle w:val="PolyrhythmMetadata"/>
      </w:rPr>
      <w:t xml:space="preserve">[Distribution / classification marking if required]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p>
    <w:pPr>
      <w:pStyle w:val="Footer"/>
      <w:spacing w:after="60"/>
    </w:pPr>
    <w:r>
      <w:rPr>
        <w:rStyle w:val="PolyrhythmMetadata"/>
      </w:rPr>
      <w:t xml:space="preserve">Polyrhythm Software, LLC</w:t>
    </w:r>
    <w:r>
      <w:tab/>
    </w:r>
    <w:r>
      <w:t xml:space="preserve">Page </w:t>
    </w:r>
    <w:r>
      <w:fldChar w:fldCharType="begin"/>
    </w:r>
    <w:r>
      <w:instrText xml:space="preserve"> PAGE </w:instrText>
    </w:r>
    <w:r>
      <w:fldChar w:fldCharType="separate"/>
    </w:r>
    <w:r>
      <w:t>1</w:t>
    </w:r>
    <w:r>
      <w:fldChar w:fldCharType="end"/>
    </w:r>
    <w:r>
      <w:t xml:space="preserve"> of </w:t>
    </w:r>
    <w:fldSimple w:instr=" NUMPAGES ">
      <w:r>
        <w:t xml:space="preserve">1</w:t>
      </w:r>
    </w:fldSimple>
  </w:p>
  <w:p>
    <w:pPr>
      <w:pStyle w:val="Footer"/>
      <w:jc w:val="center"/>
      <w:spacing w:after="0"/>
    </w:pPr>
    <w:r>
      <w:rPr>
        <w:rStyle w:val="PolyrhythmMetadata"/>
      </w:rPr>
      <w:t xml:space="preserve">[Distribution / classification marking if required]</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p>
    <w:pPr>
      <w:pStyle w:val="Header"/>
      <w:jc w:val="center"/>
      <w:spacing w:after="0"/>
    </w:pPr>
    <w:r>
      <w:rPr>
        <w:rStyle w:val="PolyrhythmMetadata"/>
      </w:rPr>
      <w:t xml:space="preserve">[Distribution / classification marking if required]</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p>
    <w:pPr>
      <w:pStyle w:val="Header"/>
      <w:jc w:val="center"/>
      <w:spacing w:after="80"/>
    </w:pPr>
    <w:r>
      <w:rPr>
        <w:rStyle w:val="PolyrhythmMetadata"/>
      </w:rPr>
      <w:t xml:space="preserve">[Distribution / classification marking if required]</w:t>
    </w:r>
  </w:p>
  <w:p>
    <w:pPr>
      <w:pStyle w:val="Header"/>
      <w:pBdr>
        <w:bottom w:val="single" w:sz="6" w:space="6" w:color="46515B" w:themeColor="text2"/>
      </w:pBdr>
      <w:spacing w:after="160"/>
    </w:pPr>
    <w:r>
      <w:rPr>
        <w:noProof/>
      </w:rPr>
      <w:drawing>
        <wp:inline distT="0" distB="0" distL="0" distR="0">
          <wp:extent cx="2011680" cy="286822"/>
          <wp:effectExtent l="0" t="0" r="0" b="0"/>
          <wp:docPr id="101" name="Polyrhythm logo" descr="Polyrhythm Software,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olyrhythm logo"/>
                  <pic:cNvPicPr/>
                </pic:nvPicPr>
                <pic:blipFill>
                  <a:blip r:embed="rId1"/>
                  <a:stretch>
                    <a:fillRect/>
                  </a:stretch>
                </pic:blipFill>
                <pic:spPr>
                  <a:xfrm>
                    <a:off x="0" y="0"/>
                    <a:ext cx="2011680" cy="286822"/>
                  </a:xfrm>
                  <a:prstGeom prst="rect">
                    <a:avLst/>
                  </a:prstGeom>
                </pic:spPr>
              </pic:pic>
            </a:graphicData>
          </a:graphic>
        </wp:inline>
      </w:drawing>
    </w:r>
  </w:p>
</w:hdr>
</file>

<file path=word/numbering.xml><?xml version="1.0" encoding="utf-8"?>
<w:numbering xmlns:mc="http://schemas.openxmlformats.org/markup-compatibility/2006" xmlns:r="http://schemas.openxmlformats.org/officeDocument/2006/relationships" xmlns:w="http://schemas.openxmlformats.org/wordprocessingml/2006/main" xmlns:w14="http://schemas.microsoft.com/office/word/2010/wordml" mc:Ignorable="w14">
  <w:abstractNum w:abstractNumId="0">
    <w:multiLevelType w:val="hybridMultilevel"/>
    <w:lvl w:ilvl="0">
      <w:start w:val="1"/>
      <w:numFmt w:val="bullet"/>
      <w:lvlText w:val="–"/>
      <w:lvlJc w:val="left"/>
      <w:pPr>
        <w:ind w:left="360" w:hanging="360"/>
      </w:pPr>
      <w:rPr>
        <w:rFonts w:ascii="Consolas" w:hAnsi="Consolas" w:hint="default"/>
        <w:color w:val="8B9399" w:themeColor="accent3"/>
      </w:rPr>
    </w:lvl>
    <w:lvl w:ilvl="1">
      <w:start w:val="1"/>
      <w:numFmt w:val="bullet"/>
      <w:lvlText w:val="·"/>
      <w:lvlJc w:val="left"/>
      <w:pPr>
        <w:ind w:left="720" w:hanging="360"/>
      </w:pPr>
      <w:rPr>
        <w:rFonts w:ascii="Consolas" w:hAnsi="Consolas" w:hint="default"/>
        <w:color w:val="8B9399" w:themeColor="accent3"/>
      </w:rPr>
    </w:lvl>
    <w:lvl w:ilvl="2">
      <w:start w:val="1"/>
      <w:numFmt w:val="bullet"/>
      <w:lvlText w:val="–"/>
      <w:lvlJc w:val="left"/>
      <w:pPr>
        <w:ind w:left="1080" w:hanging="360"/>
      </w:pPr>
      <w:rPr>
        <w:rFonts w:ascii="Consolas" w:hAnsi="Consolas" w:hint="default"/>
        <w:color w:val="8B9399" w:themeColor="accent3"/>
      </w:rPr>
    </w:lvl>
  </w:abstractNum>
  <w:abstractNum w:abstractNumId="1">
    <w:multiLevelType w:val="hybridMultilevel"/>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abstractNum>
  <w:num w:numId="1">
    <w:abstractNumId w:val="0"/>
  </w:num>
  <w:num w:numId="2">
    <w:abstractNumId w:val="1"/>
  </w:num>
</w:numbering>
</file>

<file path=word/settings.xml><?xml version="1.0" encoding="utf-8"?>
<w:settings xmlns:mc="http://schemas.openxmlformats.org/markup-compatibility/2006" xmlns:r="http://schemas.openxmlformats.org/officeDocument/2006/relationships" xmlns:w="http://schemas.openxmlformats.org/wordprocessingml/2006/main" xmlns:w14="http://schemas.microsoft.com/office/word/2010/wordml" mc:Ignorable="w14">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color w:val="0E1721" w:themeColor="text1"/>
        <w:sz w:val="22"/>
        <w:szCs w:val="22"/>
        <w:lang w:val="en-US" w:eastAsia="en-US" w:bidi="ar-SA"/>
      </w:rPr>
    </w:rPrDefault>
    <w:pPrDefault>
      <w:pPr>
        <w:spacing w:after="160" w:line="276" w:lineRule="auto"/>
      </w:pPr>
    </w:pPrDefault>
  </w:docDefaults>
  <w:latentStyles w:defLockedState="0" w:defUIPriority="99" w:defSemiHidden="1" w:defUnhideWhenUsed="1" w:defQFormat="0" w:count="3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Title" w:semiHidden="0" w:unhideWhenUsed="0" w:qFormat="1"/>
    <w:lsdException w:name="Subtitle" w:semiHidden="0" w:unhideWhenUsed="0" w:qFormat="1"/>
    <w:lsdException w:name="Quote" w:semiHidden="0" w:unhideWhenUsed="0" w:qFormat="1"/>
    <w:lsdException w:name="caption" w:semiHidden="0" w:unhideWhenUsed="0" w:qFormat="1"/>
    <w:lsdException w:name="List Paragraph" w:semiHidden="0" w:unhideWhenUsed="0" w:qFormat="1"/>
    <w:lsdException w:name="header" w:semiHidden="0" w:unhideWhenUsed="0"/>
    <w:lsdException w:name="footer" w:semiHidden="0" w:unhideWhenUsed="0"/>
    <w:lsdException w:name="toc 1" w:semiHidden="0" w:unhideWhenUsed="0"/>
    <w:lsdException w:name="toc 2" w:semiHidden="0" w:unhideWhenUsed="0"/>
    <w:lsdException w:name="toc 3" w:semiHidden="0" w:unhideWhenUsed="0"/>
    <w:lsdException w:name="Hyperlink" w:semiHidden="0" w:unhideWhenUsed="0"/>
  </w:latentStyles>
  <w:style w:type="paragraph" w:default="1" w:styleId="Normal">
    <w:name w:val="Normal"/>
    <w:qFormat/>
  </w:style>
  <w:style w:type="character" w:styleId="DefaultParagraphFont">
    <w:name w:val="Default Paragraph Font"/>
    <w:uiPriority w:val="1"/>
    <w:semiHidden/>
    <w:unhideWhenUsed/>
  </w:style>
  <w:style w:type="table"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before="0" w:after="120"/>
      <w:contextualSpacing/>
    </w:pPr>
    <w:rPr>
      <w:rFonts w:asciiTheme="majorHAnsi" w:hAnsiTheme="majorHAnsi" w:cstheme="majorBidi"/>
      <w:color w:val="0E1721" w:themeColor="text1"/>
      <w:spacing w:val="-10"/>
      <w:sz w:val="72"/>
      <w:szCs w:val="72"/>
    </w:rPr>
  </w:style>
  <w:style w:type="character" w:styleId="TitleChar">
    <w:name w:val="Title Char"/>
    <w:basedOn w:val="DefaultParagraphFont"/>
    <w:link w:val="Title"/>
    <w:uiPriority w:val="10"/>
    <w:rPr>
      <w:rFonts w:asciiTheme="majorHAnsi" w:hAnsiTheme="majorHAnsi" w:cstheme="majorBidi"/>
      <w:color w:val="0E1721" w:themeColor="text1"/>
      <w:spacing w:val="-10"/>
      <w:sz w:val="72"/>
      <w:szCs w:val="72"/>
    </w:rPr>
  </w:style>
  <w:style w:type="paragraph" w:styleId="Subtitle">
    <w:name w:val="Subtitle"/>
    <w:basedOn w:val="Normal"/>
    <w:next w:val="Normal"/>
    <w:link w:val="SubtitleChar"/>
    <w:uiPriority w:val="11"/>
    <w:qFormat/>
    <w:pPr>
      <w:spacing w:after="160"/>
      <w:contextualSpacing/>
    </w:pPr>
    <w:rPr>
      <w:rFonts w:asciiTheme="majorHAnsi" w:hAnsiTheme="majorHAnsi" w:cstheme="majorBidi"/>
      <w:color w:val="46515B" w:themeColor="text2"/>
      <w:sz w:val="36"/>
      <w:szCs w:val="36"/>
    </w:rPr>
  </w:style>
  <w:style w:type="character" w:styleId="SubtitleChar">
    <w:name w:val="Subtitle Char"/>
    <w:basedOn w:val="DefaultParagraphFont"/>
    <w:link w:val="Subtitle"/>
    <w:uiPriority w:val="11"/>
    <w:rPr>
      <w:rFonts w:asciiTheme="majorHAnsi" w:hAnsiTheme="majorHAnsi" w:cstheme="majorBidi"/>
      <w:color w:val="46515B" w:themeColor="text2"/>
      <w:sz w:val="36"/>
      <w:szCs w:val="36"/>
    </w:rPr>
  </w:style>
  <w:style w:type="paragraph" w:styleId="Heading1">
    <w:name w:val="heading 1"/>
    <w:basedOn w:val="Normal"/>
    <w:next w:val="Normal"/>
    <w:link w:val="Heading1Char"/>
    <w:uiPriority w:val="9"/>
    <w:qFormat/>
    <w:pPr>
      <w:keepNext/>
      <w:keepLines/>
      <w:pBdr>
        <w:bottom w:val="single" w:sz="6" w:space="6" w:color="46515B" w:themeColor="text2"/>
      </w:pBdr>
      <w:spacing w:before="360" w:after="160"/>
      <w:outlineLvl w:val="0"/>
    </w:pPr>
    <w:rPr>
      <w:rFonts w:asciiTheme="majorHAnsi" w:hAnsiTheme="majorHAnsi" w:cstheme="majorBidi"/>
      <w:b/>
      <w:bCs/>
      <w:color w:val="0E1721" w:themeColor="text1"/>
      <w:sz w:val="40"/>
      <w:szCs w:val="40"/>
    </w:rPr>
  </w:style>
  <w:style w:type="character" w:styleId="Heading1Char">
    <w:name w:val="Heading 1 Char"/>
    <w:basedOn w:val="DefaultParagraphFont"/>
    <w:link w:val="Heading1"/>
    <w:uiPriority w:val="9"/>
    <w:rPr>
      <w:rFonts w:asciiTheme="majorHAnsi" w:hAnsiTheme="majorHAnsi" w:cstheme="majorBidi"/>
      <w:b/>
      <w:bCs/>
      <w:color w:val="0E1721" w:themeColor="text1"/>
      <w:sz w:val="40"/>
      <w:szCs w:val="40"/>
    </w:rPr>
  </w:style>
  <w:style w:type="paragraph" w:styleId="Heading2">
    <w:name w:val="heading 2"/>
    <w:basedOn w:val="Normal"/>
    <w:next w:val="Normal"/>
    <w:link w:val="Heading2Char"/>
    <w:uiPriority w:val="9"/>
    <w:qFormat/>
    <w:pPr>
      <w:keepNext/>
      <w:keepLines/>
      <w:spacing w:before="280" w:after="120"/>
      <w:outlineLvl w:val="1"/>
    </w:pPr>
    <w:rPr>
      <w:rFonts w:asciiTheme="majorHAnsi" w:hAnsiTheme="majorHAnsi" w:cstheme="majorBidi"/>
      <w:b/>
      <w:bCs/>
      <w:color w:val="0E1721" w:themeColor="text1"/>
      <w:sz w:val="30"/>
      <w:szCs w:val="30"/>
    </w:rPr>
  </w:style>
  <w:style w:type="character" w:styleId="Heading2Char">
    <w:name w:val="Heading 2 Char"/>
    <w:basedOn w:val="DefaultParagraphFont"/>
    <w:link w:val="Heading2"/>
    <w:uiPriority w:val="9"/>
    <w:rPr>
      <w:rFonts w:asciiTheme="majorHAnsi" w:hAnsiTheme="majorHAnsi" w:cstheme="majorBidi"/>
      <w:b/>
      <w:bCs/>
      <w:color w:val="0E1721" w:themeColor="text1"/>
      <w:sz w:val="30"/>
      <w:szCs w:val="30"/>
    </w:rPr>
  </w:style>
  <w:style w:type="paragraph" w:styleId="Heading3">
    <w:name w:val="heading 3"/>
    <w:basedOn w:val="Normal"/>
    <w:next w:val="Normal"/>
    <w:link w:val="Heading3Char"/>
    <w:uiPriority w:val="9"/>
    <w:qFormat/>
    <w:pPr>
      <w:keepNext/>
      <w:keepLines/>
      <w:spacing w:before="240" w:after="80"/>
      <w:outlineLvl w:val="2"/>
    </w:pPr>
    <w:rPr>
      <w:rFonts w:asciiTheme="majorHAnsi" w:hAnsiTheme="majorHAnsi" w:cstheme="majorBidi"/>
      <w:b/>
      <w:bCs/>
      <w:color w:val="46515B" w:themeColor="text2"/>
      <w:sz w:val="25"/>
      <w:szCs w:val="25"/>
    </w:rPr>
  </w:style>
  <w:style w:type="character" w:styleId="Heading3Char">
    <w:name w:val="Heading 3 Char"/>
    <w:basedOn w:val="DefaultParagraphFont"/>
    <w:link w:val="Heading3"/>
    <w:uiPriority w:val="9"/>
    <w:rPr>
      <w:rFonts w:asciiTheme="majorHAnsi" w:hAnsiTheme="majorHAnsi" w:cstheme="majorBidi"/>
      <w:b/>
      <w:bCs/>
      <w:color w:val="46515B" w:themeColor="text2"/>
      <w:sz w:val="25"/>
      <w:szCs w:val="25"/>
    </w:rPr>
  </w:style>
  <w:style w:type="paragraph" w:styleId="Quote">
    <w:name w:val="Quote"/>
    <w:basedOn w:val="Normal"/>
    <w:next w:val="Normal"/>
    <w:link w:val="QuoteChar"/>
    <w:uiPriority w:val="29"/>
    <w:qFormat/>
    <w:pPr>
      <w:pBdr>
        <w:left w:val="single" w:sz="18" w:space="10" w:color="FF5D00" w:themeColor="accent1"/>
      </w:pBdr>
      <w:spacing w:before="120" w:after="160"/>
      <w:ind w:left="360"/>
    </w:pPr>
    <w:rPr>
      <w:i/>
      <w:iCs/>
      <w:color w:val="46515B" w:themeColor="text2"/>
    </w:rPr>
  </w:style>
  <w:style w:type="character" w:styleId="QuoteChar">
    <w:name w:val="Quote Char"/>
    <w:basedOn w:val="DefaultParagraphFont"/>
    <w:link w:val="Quote"/>
    <w:uiPriority w:val="29"/>
    <w:rPr>
      <w:i/>
      <w:iCs/>
      <w:color w:val="46515B" w:themeColor="text2"/>
    </w:rPr>
  </w:style>
  <w:style w:type="paragraph" w:styleId="Caption">
    <w:name w:val="caption"/>
    <w:basedOn w:val="Normal"/>
    <w:next w:val="Normal"/>
    <w:uiPriority w:val="35"/>
    <w:unhideWhenUsed/>
    <w:qFormat/>
    <w:pPr>
      <w:spacing w:before="80" w:after="200"/>
    </w:pPr>
    <w:rPr>
      <w:rFonts w:ascii="Consolas" w:hAnsi="Consolas" w:cs="Consolas"/>
      <w:color w:val="8B9399" w:themeColor="accent3"/>
      <w:spacing w:val="4"/>
      <w:sz w:val="17"/>
      <w:szCs w:val="17"/>
    </w:rPr>
  </w:style>
  <w:style w:type="character" w:styleId="PolyrhythmMetadata">
    <w:name w:val="Polyrhythm Metadata"/>
    <w:basedOn w:val="DefaultParagraphFont"/>
    <w:uiPriority w:val="1"/>
    <w:qFormat/>
    <w:rPr>
      <w:rFonts w:ascii="Consolas" w:hAnsi="Consolas" w:cs="Consolas"/>
      <w:caps/>
      <w:color w:val="8B9399" w:themeColor="accent3"/>
      <w:spacing w:val="16"/>
      <w:sz w:val="17"/>
      <w:szCs w:val="17"/>
    </w:rPr>
  </w:style>
  <w:style w:type="character" w:styleId="PolyrhythmMono">
    <w:name w:val="Polyrhythm Mono"/>
    <w:basedOn w:val="DefaultParagraphFont"/>
    <w:uiPriority w:val="1"/>
    <w:qFormat/>
    <w:rPr>
      <w:rFonts w:ascii="Consolas" w:hAnsi="Consolas" w:cs="Consolas"/>
      <w:color w:val="0E1721" w:themeColor="text1"/>
    </w:rPr>
  </w:style>
  <w:style w:type="paragraph" w:styleId="ListParagraph">
    <w:name w:val="List Paragraph"/>
    <w:basedOn w:val="Normal"/>
    <w:uiPriority w:val="34"/>
    <w:qFormat/>
    <w:pPr>
      <w:ind w:left="360"/>
      <w:contextualSpacing/>
    </w:pPr>
  </w:style>
  <w:style w:type="paragraph" w:styleId="PolyrhythmAbstract">
    <w:name w:val="Polyrhythm Abstract"/>
    <w:basedOn w:val="Normal"/>
    <w:next w:val="Normal"/>
    <w:uiPriority w:val="12"/>
    <w:qFormat/>
    <w:pPr>
      <w:pBdr>
        <w:left w:val="single" w:sz="18" w:space="10" w:color="8B9399" w:themeColor="accent3"/>
      </w:pBdr>
      <w:spacing w:before="80" w:after="240"/>
      <w:ind w:left="360"/>
    </w:pPr>
    <w:rPr>
      <w:color w:val="46515B" w:themeColor="text2"/>
      <w:sz w:val="23"/>
      <w:szCs w:val="23"/>
    </w:rPr>
  </w:style>
  <w:style w:type="paragraph" w:styleId="PolyrhythmCode">
    <w:name w:val="Polyrhythm Code"/>
    <w:basedOn w:val="Normal"/>
    <w:next w:val="PolyrhythmCode"/>
    <w:uiPriority w:val="13"/>
    <w:qFormat/>
    <w:pPr>
      <w:shd w:val="clear" w:color="auto" w:fill="E3E3E3" w:themeFill="background2"/>
      <w:spacing w:before="0" w:after="0" w:line="240" w:lineRule="auto"/>
      <w:contextualSpacing/>
      <w:ind w:left="144" w:right="144"/>
    </w:pPr>
    <w:rPr>
      <w:rFonts w:ascii="Consolas" w:hAnsi="Consolas" w:cs="Consolas"/>
      <w:color w:val="0E1721" w:themeColor="text1"/>
      <w:sz w:val="19"/>
      <w:szCs w:val="19"/>
    </w:rPr>
  </w:style>
  <w:style w:type="paragraph" w:styleId="Header">
    <w:name w:val="header"/>
    <w:basedOn w:val="Normal"/>
    <w:link w:val="HeaderChar"/>
    <w:uiPriority w:val="99"/>
    <w:unhideWhenUsed/>
    <w:pPr>
      <w:tabs>
        <w:tab w:val="right" w:pos="9360"/>
      </w:tabs>
      <w:spacing w:after="0" w:line="240" w:lineRule="auto"/>
    </w:pPr>
    <w:rPr>
      <w:rFonts w:ascii="Consolas" w:hAnsi="Consolas" w:cs="Consolas"/>
      <w:color w:val="46515B" w:themeColor="text2"/>
      <w:sz w:val="17"/>
      <w:szCs w:val="17"/>
    </w:rPr>
  </w:style>
  <w:style w:type="character" w:styleId="HeaderChar">
    <w:name w:val="Header Char"/>
    <w:basedOn w:val="DefaultParagraphFont"/>
    <w:link w:val="Header"/>
    <w:uiPriority w:val="99"/>
    <w:rPr>
      <w:rFonts w:ascii="Consolas" w:hAnsi="Consolas" w:cs="Consolas"/>
      <w:color w:val="46515B" w:themeColor="text2"/>
      <w:sz w:val="17"/>
      <w:szCs w:val="17"/>
    </w:rPr>
  </w:style>
  <w:style w:type="paragraph" w:styleId="Footer">
    <w:name w:val="footer"/>
    <w:basedOn w:val="Normal"/>
    <w:link w:val="FooterChar"/>
    <w:uiPriority w:val="99"/>
    <w:unhideWhenUsed/>
    <w:pPr>
      <w:tabs>
        <w:tab w:val="right" w:pos="9360"/>
      </w:tabs>
      <w:spacing w:after="0" w:line="240" w:lineRule="auto"/>
    </w:pPr>
    <w:rPr>
      <w:rFonts w:ascii="Consolas" w:hAnsi="Consolas" w:cs="Consolas"/>
      <w:color w:val="46515B" w:themeColor="text2"/>
      <w:sz w:val="17"/>
      <w:szCs w:val="17"/>
    </w:rPr>
  </w:style>
  <w:style w:type="character" w:styleId="FooterChar">
    <w:name w:val="Footer Char"/>
    <w:basedOn w:val="DefaultParagraphFont"/>
    <w:link w:val="Footer"/>
    <w:uiPriority w:val="99"/>
    <w:rPr>
      <w:rFonts w:ascii="Consolas" w:hAnsi="Consolas" w:cs="Consolas"/>
      <w:color w:val="46515B" w:themeColor="text2"/>
      <w:sz w:val="17"/>
      <w:szCs w:val="17"/>
    </w:rPr>
  </w:style>
  <w:style w:type="table" w:default="1" w:styleId="PolyrhythmTable">
    <w:name w:val="Polyrhythm Table"/>
    <w:basedOn w:val="TableNormal"/>
    <w:uiPriority w:val="59"/>
    <w:qFormat/>
    <w:tblPr>
      <w:tblBorders>
        <w:top w:val="single" w:sz="6" w:space="0" w:color="46515B" w:themeColor="text2"/>
        <w:bottom w:val="single" w:sz="6" w:space="0" w:color="46515B" w:themeColor="text2"/>
        <w:insideH w:val="single" w:sz="4" w:space="0" w:color="8B9399" w:themeColor="accent3"/>
      </w:tblBorders>
      <w:tblCellMar>
        <w:top w:w="60" w:type="dxa"/>
        <w:left w:w="108" w:type="dxa"/>
        <w:bottom w:w="60" w:type="dxa"/>
        <w:right w:w="108" w:type="dxa"/>
      </w:tblCellMar>
    </w:tblPr>
    <w:tblStylePr w:type="firstRow">
      <w:rPr>
        <w:rFonts w:asciiTheme="majorHAnsi" w:hAnsiTheme="majorHAnsi" w:cstheme="majorBidi"/>
        <w:b/>
        <w:color w:val="0E1721" w:themeColor="text1"/>
      </w:rPr>
      <w:tblPr/>
      <w:tcPr>
        <w:tcBorders>
          <w:bottom w:val="single" w:sz="8" w:space="0" w:color="46515B" w:themeColor="tex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theme" Target="theme/theme1.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Polyrhythm">
  <a:themeElements>
    <a:clrScheme name="Polyrhythm">
      <a:dk1>
        <a:srgbClr val="0E1721"/>
      </a:dk1>
      <a:lt1>
        <a:srgbClr val="FFFFFF"/>
      </a:lt1>
      <a:dk2>
        <a:srgbClr val="46515B"/>
      </a:dk2>
      <a:lt2>
        <a:srgbClr val="E3E3E3"/>
      </a:lt2>
      <a:accent1>
        <a:srgbClr val="FF5D00"/>
      </a:accent1>
      <a:accent2>
        <a:srgbClr val="FCAA00"/>
      </a:accent2>
      <a:accent3>
        <a:srgbClr val="8B9399"/>
      </a:accent3>
      <a:accent4>
        <a:srgbClr val="CD3619"/>
      </a:accent4>
      <a:accent5>
        <a:srgbClr val="F8E04D"/>
      </a:accent5>
      <a:accent6>
        <a:srgbClr val="162230"/>
      </a:accent6>
      <a:hlink>
        <a:srgbClr val="FF5D00"/>
      </a:hlink>
      <a:folHlink>
        <a:srgbClr val="CD3619"/>
      </a:folHlink>
    </a:clrScheme>
    <a:fontScheme name="Polyrhythm">
      <a:majorFont>
        <a:latin typeface="Corbel" panose="020B0503020204020204"/>
        <a:ea typeface=""/>
        <a:cs typeface=""/>
      </a:majorFont>
      <a:minorFont>
        <a:latin typeface="Corbel" panose="020B0503020204020204"/>
        <a:ea typeface=""/>
        <a:cs typeface=""/>
      </a:minorFont>
    </a:fontScheme>
    <a:fmtScheme name="Polyrhythm">
      <a:fillStyleLst>
        <a:solidFill>
          <a:schemeClr val="phClr"/>
        </a:solidFill>
        <a:solidFill>
          <a:schemeClr val="phClr">
            <a:tint val="67000"/>
          </a:schemeClr>
        </a:solidFill>
        <a:solidFill>
          <a:schemeClr val="phClr">
            <a:shade val="80000"/>
          </a:schemeClr>
        </a:soli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solidFill>
          <a:schemeClr val="phClr">
            <a:shade val="80000"/>
          </a:scheme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Company>Polyrhythm Software, LLC</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Polyrhythm Technical Report</dc:title>
  <dc:creator>Polyrhythm Software, LLC</dc:creator>
  <cp:lastModifiedBy>Polyrhythm Software, LLC</cp:lastModifiedBy>
  <cp:revision>1</cp:revision>
  <dcterms:created xsi:type="dcterms:W3CDTF">2026-06-16T00:00:00Z</dcterms:created>
  <dcterms:modified xsi:type="dcterms:W3CDTF">2026-06-16T00:00:00Z</dcterms:modified>
</cp:coreProperties>
</file>